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8" w:lineRule="exact"/>
        <w:ind w:right="1276"/>
        <w:jc w:val="center"/>
        <w:rPr>
          <w:rFonts w:ascii="MingLiU" w:hAnsi="Calibri"/>
          <w:color w:val="000000"/>
          <w:sz w:val="20"/>
          <w:szCs w:val="22"/>
          <w:lang w:val="en-US" w:eastAsia="en-US" w:bidi="ar-SA"/>
        </w:rPr>
      </w:pPr>
      <w:r>
        <w:pict>
          <v:shape id="_x0000_s1026" o:spid="_x0000_s1026" o:spt="75" type="#_x0000_t75" style="position:absolute;left:0pt;margin-left:41.5pt;margin-top:53.85pt;height:3pt;width:512.25pt;mso-position-horizontal-relative:page;mso-position-vertical-relative:page;z-index:-251644928;mso-width-relative:page;mso-height-relative:page;" filled="f" o:preferrelative="t" stroked="f" coordsize="21600,21600">
            <v:path/>
            <v:fill on="f" focussize="0,0"/>
            <v:stroke on="f" joinstyle="miter"/>
            <v:imagedata r:id="rId4" o:title=""/>
            <o:lock v:ext="edit" aspectratio="t"/>
          </v:shape>
        </w:pict>
      </w:r>
      <w:r>
        <w:pict>
          <v:shape id="_x0000_s1027" o:spid="_x0000_s1027" o:spt="75" type="#_x0000_t75" style="position:absolute;left:0pt;margin-left:41.5pt;margin-top:811.65pt;height:3pt;width:512.25pt;mso-position-horizontal-relative:page;mso-position-vertical-relative:page;z-index:-251658240;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520" w:line="330" w:lineRule="exact"/>
        <w:rPr>
          <w:rFonts w:ascii="MingLiU" w:hAnsi="Calibri"/>
          <w:color w:val="000000"/>
          <w:sz w:val="32"/>
          <w:szCs w:val="22"/>
          <w:lang w:val="en-US" w:eastAsia="en-US" w:bidi="ar-SA"/>
        </w:rPr>
      </w:pPr>
      <w:r>
        <w:rPr>
          <w:rFonts w:ascii="MingLiU" w:hAnsi="MingLiU" w:cs="MingLiU"/>
          <w:color w:val="000000"/>
          <w:sz w:val="32"/>
          <w:szCs w:val="22"/>
          <w:lang w:val="en-US" w:eastAsia="en-US" w:bidi="ar-SA"/>
        </w:rPr>
        <w:t>低能耗居住建筑节能设计标准</w:t>
      </w:r>
      <w:r>
        <w:rPr>
          <w:rFonts w:ascii="MingLiU" w:hAnsi="Calibri"/>
          <w:color w:val="000000"/>
          <w:spacing w:val="-94"/>
          <w:sz w:val="32"/>
          <w:szCs w:val="22"/>
          <w:lang w:val="en-US" w:eastAsia="en-US" w:bidi="ar-SA"/>
        </w:rPr>
        <w:t xml:space="preserve"> </w:t>
      </w:r>
      <w:r>
        <w:rPr>
          <w:rFonts w:ascii="MingLiU" w:hAnsi="MingLiU" w:cs="MingLiU"/>
          <w:color w:val="000000"/>
          <w:sz w:val="32"/>
          <w:szCs w:val="22"/>
          <w:lang w:val="en-US" w:eastAsia="en-US" w:bidi="ar-SA"/>
        </w:rPr>
        <w:t>湖北省地方标准（D</w:t>
      </w:r>
      <w:r>
        <w:rPr>
          <w:rFonts w:ascii="MingLiU" w:hAnsi="Calibri"/>
          <w:color w:val="000000"/>
          <w:spacing w:val="-84"/>
          <w:sz w:val="32"/>
          <w:szCs w:val="22"/>
          <w:lang w:val="en-US" w:eastAsia="en-US" w:bidi="ar-SA"/>
        </w:rPr>
        <w:t xml:space="preserve"> </w:t>
      </w:r>
      <w:r>
        <w:rPr>
          <w:rFonts w:ascii="MingLiU" w:hAnsi="Calibri"/>
          <w:color w:val="000000"/>
          <w:spacing w:val="-12"/>
          <w:sz w:val="32"/>
          <w:szCs w:val="22"/>
          <w:lang w:val="en-US" w:eastAsia="en-US" w:bidi="ar-SA"/>
        </w:rPr>
        <w:t>B42/T</w:t>
      </w:r>
      <w:r>
        <w:rPr>
          <w:rFonts w:ascii="MingLiU" w:hAnsi="Calibri"/>
          <w:color w:val="000000"/>
          <w:spacing w:val="-126"/>
          <w:sz w:val="32"/>
          <w:szCs w:val="22"/>
          <w:lang w:val="en-US" w:eastAsia="en-US" w:bidi="ar-SA"/>
        </w:rPr>
        <w:t xml:space="preserve"> </w:t>
      </w:r>
      <w:r>
        <w:rPr>
          <w:rFonts w:ascii="MingLiU" w:hAnsi="MingLiU" w:cs="MingLiU"/>
          <w:color w:val="000000"/>
          <w:spacing w:val="-9"/>
          <w:sz w:val="32"/>
          <w:szCs w:val="22"/>
          <w:lang w:val="en-US" w:eastAsia="en-US" w:bidi="ar-SA"/>
        </w:rPr>
        <w:t>559—2013）</w:t>
      </w:r>
    </w:p>
    <w:p>
      <w:pPr>
        <w:spacing w:before="302" w:line="210" w:lineRule="exact"/>
        <w:ind w:left="41"/>
        <w:rPr>
          <w:rFonts w:ascii="MingLiU" w:hAnsi="Calibri"/>
          <w:color w:val="000000"/>
          <w:sz w:val="20"/>
          <w:szCs w:val="22"/>
          <w:lang w:val="en-US" w:eastAsia="en-US" w:bidi="ar-SA"/>
        </w:rPr>
      </w:pPr>
      <w:r>
        <w:rPr>
          <w:rFonts w:ascii="MingLiU" w:hAnsi="MingLiU" w:cs="MingLiU"/>
          <w:color w:val="000000"/>
          <w:spacing w:val="-4"/>
          <w:sz w:val="20"/>
          <w:szCs w:val="22"/>
          <w:lang w:val="en-US" w:eastAsia="en-US" w:bidi="ar-SA"/>
        </w:rPr>
        <w:t>1总则</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1为了贯彻国家有关节约能源、保护环境的法律、法规和政策，进一步提高居住建筑热工性能和采暖空调等用能</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设备的能源利用效率，改善居住建筑热环境，制定本标准。</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2本标准适用于新建、改建和扩建的低能耗居住建筑的建筑节能设计。</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3居住建筑必须采取节能措施，在保证室内热环境质量的前提下，建筑热工和暖通空调设计应将采暖和空调能耗</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控制在规定的范围内。</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4居住建筑的节能设计，除应符合本标准外，尚应符合国家现行有关强制性标准的规定。</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4"/>
          <w:sz w:val="20"/>
          <w:szCs w:val="22"/>
          <w:lang w:val="en-US" w:eastAsia="en-US" w:bidi="ar-SA"/>
        </w:rPr>
        <w:t>2术语</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5"/>
          <w:sz w:val="20"/>
          <w:szCs w:val="22"/>
          <w:lang w:val="en-US" w:eastAsia="en-US" w:bidi="ar-SA"/>
        </w:rPr>
        <w:t>1体形系数shape</w:t>
      </w:r>
      <w:r>
        <w:rPr>
          <w:rFonts w:ascii="MingLiU" w:hAnsi="Calibri"/>
          <w:color w:val="000000"/>
          <w:spacing w:val="-76"/>
          <w:sz w:val="20"/>
          <w:szCs w:val="22"/>
          <w:lang w:val="en-US" w:eastAsia="en-US" w:bidi="ar-SA"/>
        </w:rPr>
        <w:t xml:space="preserve"> </w:t>
      </w:r>
      <w:r>
        <w:rPr>
          <w:rFonts w:ascii="MingLiU" w:hAnsi="Calibri"/>
          <w:color w:val="000000"/>
          <w:spacing w:val="-15"/>
          <w:sz w:val="20"/>
          <w:szCs w:val="22"/>
          <w:lang w:val="en-US" w:eastAsia="en-US" w:bidi="ar-SA"/>
        </w:rPr>
        <w:t>coeff</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4"/>
          <w:sz w:val="20"/>
          <w:szCs w:val="22"/>
          <w:lang w:val="en-US" w:eastAsia="en-US" w:bidi="ar-SA"/>
        </w:rPr>
        <w:t>ent</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建筑物与室外大气接触的外表面积与其所包围的体积的比值。</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2外墙平均传热系数（K</w:t>
      </w:r>
      <w:r>
        <w:rPr>
          <w:rFonts w:ascii="MingLiU" w:hAnsi="Calibri"/>
          <w:color w:val="000000"/>
          <w:spacing w:val="-67"/>
          <w:sz w:val="20"/>
          <w:szCs w:val="22"/>
          <w:lang w:val="en-US" w:eastAsia="en-US" w:bidi="ar-SA"/>
        </w:rPr>
        <w:t xml:space="preserve"> </w:t>
      </w:r>
      <w:r>
        <w:rPr>
          <w:rFonts w:ascii="MingLiU" w:hAnsi="Calibri"/>
          <w:color w:val="000000"/>
          <w:sz w:val="20"/>
          <w:szCs w:val="22"/>
          <w:lang w:val="en-US" w:eastAsia="en-US" w:bidi="ar-SA"/>
        </w:rPr>
        <w:t>m</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）m</w:t>
      </w:r>
      <w:r>
        <w:rPr>
          <w:rFonts w:ascii="MingLiU" w:hAnsi="Calibri"/>
          <w:color w:val="000000"/>
          <w:spacing w:val="-41"/>
          <w:sz w:val="20"/>
          <w:szCs w:val="22"/>
          <w:lang w:val="en-US" w:eastAsia="en-US" w:bidi="ar-SA"/>
        </w:rPr>
        <w:t xml:space="preserve"> </w:t>
      </w:r>
      <w:r>
        <w:rPr>
          <w:rFonts w:ascii="MingLiU" w:hAnsi="Calibri"/>
          <w:color w:val="000000"/>
          <w:spacing w:val="-11"/>
          <w:sz w:val="20"/>
          <w:szCs w:val="22"/>
          <w:lang w:val="en-US" w:eastAsia="en-US" w:bidi="ar-SA"/>
        </w:rPr>
        <w:t>ean</w:t>
      </w:r>
      <w:r>
        <w:rPr>
          <w:rFonts w:ascii="MingLiU" w:hAnsi="Calibri"/>
          <w:color w:val="000000"/>
          <w:spacing w:val="-53"/>
          <w:sz w:val="20"/>
          <w:szCs w:val="22"/>
          <w:lang w:val="en-US" w:eastAsia="en-US" w:bidi="ar-SA"/>
        </w:rPr>
        <w:t xml:space="preserve"> </w:t>
      </w:r>
      <w:r>
        <w:rPr>
          <w:rFonts w:ascii="MingLiU" w:hAnsi="Calibri"/>
          <w:color w:val="000000"/>
          <w:spacing w:val="-17"/>
          <w:sz w:val="20"/>
          <w:szCs w:val="22"/>
          <w:lang w:val="en-US" w:eastAsia="en-US" w:bidi="ar-SA"/>
        </w:rPr>
        <w:t>heattransfercoeff</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9"/>
          <w:sz w:val="20"/>
          <w:szCs w:val="22"/>
          <w:lang w:val="en-US" w:eastAsia="en-US" w:bidi="ar-SA"/>
        </w:rPr>
        <w:t>en</w:t>
      </w:r>
      <w:r>
        <w:rPr>
          <w:rFonts w:ascii="MingLiU" w:hAnsi="Calibri"/>
          <w:color w:val="000000"/>
          <w:spacing w:val="-95"/>
          <w:sz w:val="20"/>
          <w:szCs w:val="22"/>
          <w:lang w:val="en-US" w:eastAsia="en-US" w:bidi="ar-SA"/>
        </w:rPr>
        <w:t xml:space="preserve"> </w:t>
      </w:r>
      <w:r>
        <w:rPr>
          <w:rFonts w:ascii="MingLiU" w:hAnsi="Calibri"/>
          <w:color w:val="000000"/>
          <w:spacing w:val="-2"/>
          <w:sz w:val="20"/>
          <w:szCs w:val="22"/>
          <w:lang w:val="en-US" w:eastAsia="en-US" w:bidi="ar-SA"/>
        </w:rPr>
        <w:t>to</w:t>
      </w:r>
      <w:r>
        <w:rPr>
          <w:rFonts w:ascii="MingLiU" w:hAnsi="Calibri"/>
          <w:color w:val="000000"/>
          <w:spacing w:val="-95"/>
          <w:sz w:val="20"/>
          <w:szCs w:val="22"/>
          <w:lang w:val="en-US" w:eastAsia="en-US" w:bidi="ar-SA"/>
        </w:rPr>
        <w:t xml:space="preserve"> </w:t>
      </w:r>
      <w:r>
        <w:rPr>
          <w:rFonts w:ascii="MingLiU" w:hAnsi="Calibri"/>
          <w:color w:val="000000"/>
          <w:spacing w:val="-18"/>
          <w:sz w:val="20"/>
          <w:szCs w:val="22"/>
          <w:lang w:val="en-US" w:eastAsia="en-US" w:bidi="ar-SA"/>
        </w:rPr>
        <w:t>fextern</w:t>
      </w:r>
      <w:r>
        <w:rPr>
          <w:rFonts w:ascii="MingLiU" w:hAnsi="Calibri"/>
          <w:color w:val="000000"/>
          <w:spacing w:val="-95"/>
          <w:sz w:val="20"/>
          <w:szCs w:val="22"/>
          <w:lang w:val="en-US" w:eastAsia="en-US" w:bidi="ar-SA"/>
        </w:rPr>
        <w:t xml:space="preserve"> </w:t>
      </w:r>
      <w:r>
        <w:rPr>
          <w:rFonts w:ascii="MingLiU" w:hAnsi="Calibri"/>
          <w:color w:val="000000"/>
          <w:sz w:val="20"/>
          <w:szCs w:val="22"/>
          <w:lang w:val="en-US" w:eastAsia="en-US" w:bidi="ar-SA"/>
        </w:rPr>
        <w:t>a</w:t>
      </w:r>
      <w:r>
        <w:rPr>
          <w:rFonts w:ascii="MingLiU" w:hAnsi="Calibri"/>
          <w:color w:val="000000"/>
          <w:spacing w:val="-54"/>
          <w:sz w:val="20"/>
          <w:szCs w:val="22"/>
          <w:lang w:val="en-US" w:eastAsia="en-US" w:bidi="ar-SA"/>
        </w:rPr>
        <w:t>l</w:t>
      </w:r>
      <w:r>
        <w:rPr>
          <w:rFonts w:ascii="MingLiU" w:hAnsi="Calibri"/>
          <w:color w:val="000000"/>
          <w:spacing w:val="30"/>
          <w:sz w:val="20"/>
          <w:szCs w:val="22"/>
          <w:lang w:val="en-US" w:eastAsia="en-US" w:bidi="ar-SA"/>
        </w:rPr>
        <w:t>wa</w:t>
      </w:r>
      <w:r>
        <w:rPr>
          <w:rFonts w:ascii="MingLiU" w:hAnsi="Calibri"/>
          <w:color w:val="000000"/>
          <w:spacing w:val="-54"/>
          <w:sz w:val="20"/>
          <w:szCs w:val="22"/>
          <w:lang w:val="en-US" w:eastAsia="en-US" w:bidi="ar-SA"/>
        </w:rPr>
        <w:t>l</w:t>
      </w:r>
      <w:r>
        <w:rPr>
          <w:rFonts w:ascii="MingLiU" w:hAnsi="Calibri"/>
          <w:color w:val="000000"/>
          <w:sz w:val="20"/>
          <w:szCs w:val="22"/>
          <w:lang w:val="en-US" w:eastAsia="en-US" w:bidi="ar-SA"/>
        </w:rPr>
        <w:t>l</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考虑了外墙上存在的热桥影响后按面积计权计算得到的单朝向（东、南、西、北或单片）外墙传热系数，单位为W</w:t>
      </w:r>
      <w:r>
        <w:rPr>
          <w:rFonts w:ascii="MingLiU" w:hAnsi="MingLiU" w:cs="MingLiU"/>
          <w:color w:val="000000"/>
          <w:sz w:val="20"/>
          <w:szCs w:val="22"/>
          <w:lang w:val="en-US" w:eastAsia="en-US" w:bidi="ar-SA"/>
        </w:rPr>
        <w:cr/>
      </w:r>
      <w:r>
        <w:rPr>
          <w:rFonts w:ascii="MingLiU" w:hAnsi="MingLiU" w:cs="MingLiU"/>
          <w:color w:val="000000"/>
          <w:spacing w:val="-7"/>
          <w:sz w:val="20"/>
          <w:szCs w:val="22"/>
          <w:lang w:val="en-US" w:eastAsia="en-US" w:bidi="ar-SA"/>
        </w:rPr>
        <w:t>/（㎡�K</w:t>
      </w:r>
      <w:r>
        <w:rPr>
          <w:rFonts w:ascii="MingLiU" w:hAnsi="Calibri"/>
          <w:color w:val="000000"/>
          <w:spacing w:val="-67"/>
          <w:sz w:val="20"/>
          <w:szCs w:val="22"/>
          <w:lang w:val="en-US" w:eastAsia="en-US" w:bidi="ar-SA"/>
        </w:rPr>
        <w:t xml:space="preserve"> </w:t>
      </w:r>
      <w:r>
        <w:rPr>
          <w:rFonts w:ascii="MingLiU" w:hAnsi="MingLiU" w:cs="MingLiU"/>
          <w:color w:val="000000"/>
          <w:sz w:val="20"/>
          <w:szCs w:val="22"/>
          <w:lang w:val="en-US" w:eastAsia="en-US" w:bidi="ar-SA"/>
        </w:rPr>
        <w:t>）。</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7"/>
          <w:sz w:val="20"/>
          <w:szCs w:val="22"/>
          <w:lang w:val="en-US" w:eastAsia="en-US" w:bidi="ar-SA"/>
        </w:rPr>
        <w:t>3窗墙面积比area</w:t>
      </w:r>
      <w:r>
        <w:rPr>
          <w:rFonts w:ascii="MingLiU" w:hAnsi="Calibri"/>
          <w:color w:val="000000"/>
          <w:spacing w:val="-75"/>
          <w:sz w:val="20"/>
          <w:szCs w:val="22"/>
          <w:lang w:val="en-US" w:eastAsia="en-US" w:bidi="ar-SA"/>
        </w:rPr>
        <w:t xml:space="preserve"> </w:t>
      </w:r>
      <w:r>
        <w:rPr>
          <w:rFonts w:ascii="MingLiU" w:hAnsi="Calibri"/>
          <w:color w:val="000000"/>
          <w:spacing w:val="-16"/>
          <w:sz w:val="20"/>
          <w:szCs w:val="22"/>
          <w:lang w:val="en-US" w:eastAsia="en-US" w:bidi="ar-SA"/>
        </w:rPr>
        <w:t>rat</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o</w:t>
      </w:r>
      <w:r>
        <w:rPr>
          <w:rFonts w:ascii="MingLiU" w:hAnsi="Calibri"/>
          <w:color w:val="000000"/>
          <w:spacing w:val="-54"/>
          <w:sz w:val="20"/>
          <w:szCs w:val="22"/>
          <w:lang w:val="en-US" w:eastAsia="en-US" w:bidi="ar-SA"/>
        </w:rPr>
        <w:t xml:space="preserve"> </w:t>
      </w:r>
      <w:r>
        <w:rPr>
          <w:rFonts w:ascii="MingLiU" w:hAnsi="Calibri"/>
          <w:color w:val="000000"/>
          <w:sz w:val="20"/>
          <w:szCs w:val="22"/>
          <w:lang w:val="en-US" w:eastAsia="en-US" w:bidi="ar-SA"/>
        </w:rPr>
        <w:t>ofw</w:t>
      </w:r>
      <w:r>
        <w:rPr>
          <w:rFonts w:ascii="MingLiU" w:hAnsi="Calibri"/>
          <w:color w:val="000000"/>
          <w:spacing w:val="-52"/>
          <w:sz w:val="20"/>
          <w:szCs w:val="22"/>
          <w:lang w:val="en-US" w:eastAsia="en-US" w:bidi="ar-SA"/>
        </w:rPr>
        <w:t>i</w:t>
      </w:r>
      <w:r>
        <w:rPr>
          <w:rFonts w:ascii="MingLiU" w:hAnsi="Calibri"/>
          <w:color w:val="000000"/>
          <w:spacing w:val="5"/>
          <w:sz w:val="20"/>
          <w:szCs w:val="22"/>
          <w:lang w:val="en-US" w:eastAsia="en-US" w:bidi="ar-SA"/>
        </w:rPr>
        <w:t>ndow</w:t>
      </w:r>
      <w:r>
        <w:rPr>
          <w:rFonts w:ascii="MingLiU" w:hAnsi="Calibri"/>
          <w:color w:val="000000"/>
          <w:spacing w:val="-34"/>
          <w:sz w:val="20"/>
          <w:szCs w:val="22"/>
          <w:lang w:val="en-US" w:eastAsia="en-US" w:bidi="ar-SA"/>
        </w:rPr>
        <w:t xml:space="preserve"> </w:t>
      </w:r>
      <w:r>
        <w:rPr>
          <w:rFonts w:ascii="MingLiU" w:hAnsi="Calibri"/>
          <w:color w:val="000000"/>
          <w:spacing w:val="8"/>
          <w:sz w:val="20"/>
          <w:szCs w:val="22"/>
          <w:lang w:val="en-US" w:eastAsia="en-US" w:bidi="ar-SA"/>
        </w:rPr>
        <w:t>towa</w:t>
      </w:r>
      <w:r>
        <w:rPr>
          <w:rFonts w:ascii="MingLiU" w:hAnsi="Calibri"/>
          <w:color w:val="000000"/>
          <w:spacing w:val="-54"/>
          <w:sz w:val="20"/>
          <w:szCs w:val="22"/>
          <w:lang w:val="en-US" w:eastAsia="en-US" w:bidi="ar-SA"/>
        </w:rPr>
        <w:t>l</w:t>
      </w:r>
      <w:r>
        <w:rPr>
          <w:rFonts w:ascii="MingLiU" w:hAnsi="Calibri"/>
          <w:color w:val="000000"/>
          <w:sz w:val="20"/>
          <w:szCs w:val="22"/>
          <w:lang w:val="en-US" w:eastAsia="en-US" w:bidi="ar-SA"/>
        </w:rPr>
        <w:t>l</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窗户洞口面积与房间立面单元面积（即建筑层高与开间定位线围成的面积）的比值。</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4"/>
          <w:sz w:val="20"/>
          <w:szCs w:val="22"/>
          <w:lang w:val="en-US" w:eastAsia="en-US" w:bidi="ar-SA"/>
        </w:rPr>
        <w:t>4凸窗bay</w:t>
      </w:r>
      <w:r>
        <w:rPr>
          <w:rFonts w:ascii="MingLiU" w:hAnsi="Calibri"/>
          <w:color w:val="000000"/>
          <w:spacing w:val="-68"/>
          <w:sz w:val="20"/>
          <w:szCs w:val="22"/>
          <w:lang w:val="en-US" w:eastAsia="en-US" w:bidi="ar-SA"/>
        </w:rPr>
        <w:t xml:space="preserve"> </w:t>
      </w:r>
      <w:r>
        <w:rPr>
          <w:rFonts w:ascii="MingLiU" w:hAnsi="Calibri"/>
          <w:color w:val="000000"/>
          <w:sz w:val="20"/>
          <w:szCs w:val="22"/>
          <w:lang w:val="en-US" w:eastAsia="en-US" w:bidi="ar-SA"/>
        </w:rPr>
        <w:t>w</w:t>
      </w:r>
      <w:r>
        <w:rPr>
          <w:rFonts w:ascii="MingLiU" w:hAnsi="Calibri"/>
          <w:color w:val="000000"/>
          <w:spacing w:val="-52"/>
          <w:sz w:val="20"/>
          <w:szCs w:val="22"/>
          <w:lang w:val="en-US" w:eastAsia="en-US" w:bidi="ar-SA"/>
        </w:rPr>
        <w:t>i</w:t>
      </w:r>
      <w:r>
        <w:rPr>
          <w:rFonts w:ascii="MingLiU" w:hAnsi="Calibri"/>
          <w:color w:val="000000"/>
          <w:spacing w:val="5"/>
          <w:sz w:val="20"/>
          <w:szCs w:val="22"/>
          <w:lang w:val="en-US" w:eastAsia="en-US" w:bidi="ar-SA"/>
        </w:rPr>
        <w:t>ndow</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位置凸出外墙外表面的窗。</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8"/>
          <w:sz w:val="20"/>
          <w:szCs w:val="22"/>
          <w:lang w:val="en-US" w:eastAsia="en-US" w:bidi="ar-SA"/>
        </w:rPr>
        <w:t>5建筑物的东、南、西、北朝向north，south，east，w</w:t>
      </w:r>
      <w:r>
        <w:rPr>
          <w:rFonts w:ascii="MingLiU" w:hAnsi="Calibri"/>
          <w:color w:val="000000"/>
          <w:spacing w:val="-70"/>
          <w:sz w:val="20"/>
          <w:szCs w:val="22"/>
          <w:lang w:val="en-US" w:eastAsia="en-US" w:bidi="ar-SA"/>
        </w:rPr>
        <w:t xml:space="preserve"> </w:t>
      </w:r>
      <w:r>
        <w:rPr>
          <w:rFonts w:ascii="MingLiU" w:hAnsi="Calibri"/>
          <w:color w:val="000000"/>
          <w:spacing w:val="-10"/>
          <w:sz w:val="20"/>
          <w:szCs w:val="22"/>
          <w:lang w:val="en-US" w:eastAsia="en-US" w:bidi="ar-SA"/>
        </w:rPr>
        <w:t>estor</w:t>
      </w:r>
      <w:r>
        <w:rPr>
          <w:rFonts w:ascii="MingLiU" w:hAnsi="Calibri"/>
          <w:color w:val="000000"/>
          <w:spacing w:val="-52"/>
          <w:sz w:val="20"/>
          <w:szCs w:val="22"/>
          <w:lang w:val="en-US" w:eastAsia="en-US" w:bidi="ar-SA"/>
        </w:rPr>
        <w:t>i</w:t>
      </w:r>
      <w:r>
        <w:rPr>
          <w:rFonts w:ascii="MingLiU" w:hAnsi="Calibri"/>
          <w:color w:val="000000"/>
          <w:spacing w:val="-9"/>
          <w:sz w:val="20"/>
          <w:szCs w:val="22"/>
          <w:lang w:val="en-US" w:eastAsia="en-US" w:bidi="ar-SA"/>
        </w:rPr>
        <w:t>en</w:t>
      </w:r>
      <w:r>
        <w:rPr>
          <w:rFonts w:ascii="MingLiU" w:hAnsi="Calibri"/>
          <w:color w:val="000000"/>
          <w:spacing w:val="-95"/>
          <w:sz w:val="20"/>
          <w:szCs w:val="22"/>
          <w:lang w:val="en-US" w:eastAsia="en-US" w:bidi="ar-SA"/>
        </w:rPr>
        <w:t xml:space="preserve"> </w:t>
      </w:r>
      <w:r>
        <w:rPr>
          <w:rFonts w:ascii="MingLiU" w:hAnsi="Calibri"/>
          <w:color w:val="000000"/>
          <w:spacing w:val="-20"/>
          <w:sz w:val="20"/>
          <w:szCs w:val="22"/>
          <w:lang w:val="en-US" w:eastAsia="en-US" w:bidi="ar-SA"/>
        </w:rPr>
        <w:t>tat</w:t>
      </w:r>
      <w:r>
        <w:rPr>
          <w:rFonts w:ascii="MingLiU" w:hAnsi="Calibri"/>
          <w:color w:val="000000"/>
          <w:spacing w:val="-52"/>
          <w:sz w:val="20"/>
          <w:szCs w:val="22"/>
          <w:lang w:val="en-US" w:eastAsia="en-US" w:bidi="ar-SA"/>
        </w:rPr>
        <w:t>i</w:t>
      </w:r>
      <w:r>
        <w:rPr>
          <w:rFonts w:ascii="MingLiU" w:hAnsi="Calibri"/>
          <w:color w:val="000000"/>
          <w:spacing w:val="2"/>
          <w:sz w:val="20"/>
          <w:szCs w:val="22"/>
          <w:lang w:val="en-US" w:eastAsia="en-US" w:bidi="ar-SA"/>
        </w:rPr>
        <w:t>on</w:t>
      </w:r>
      <w:r>
        <w:rPr>
          <w:rFonts w:ascii="MingLiU" w:hAnsi="Calibri"/>
          <w:color w:val="000000"/>
          <w:spacing w:val="-53"/>
          <w:sz w:val="20"/>
          <w:szCs w:val="22"/>
          <w:lang w:val="en-US" w:eastAsia="en-US" w:bidi="ar-SA"/>
        </w:rPr>
        <w:t xml:space="preserve"> </w:t>
      </w:r>
      <w:r>
        <w:rPr>
          <w:rFonts w:ascii="MingLiU" w:hAnsi="Calibri"/>
          <w:color w:val="000000"/>
          <w:sz w:val="20"/>
          <w:szCs w:val="22"/>
          <w:lang w:val="en-US" w:eastAsia="en-US" w:bidi="ar-SA"/>
        </w:rPr>
        <w:t>ofbu</w:t>
      </w:r>
      <w:r>
        <w:rPr>
          <w:rFonts w:ascii="MingLiU" w:hAnsi="Calibri"/>
          <w:color w:val="000000"/>
          <w:spacing w:val="-52"/>
          <w:sz w:val="20"/>
          <w:szCs w:val="22"/>
          <w:lang w:val="en-US" w:eastAsia="en-US" w:bidi="ar-SA"/>
        </w:rPr>
        <w:t>i</w:t>
      </w:r>
      <w:r>
        <w:rPr>
          <w:rFonts w:ascii="MingLiU" w:hAnsi="Calibri"/>
          <w:color w:val="000000"/>
          <w:spacing w:val="-54"/>
          <w:sz w:val="20"/>
          <w:szCs w:val="22"/>
          <w:lang w:val="en-US" w:eastAsia="en-US" w:bidi="ar-SA"/>
        </w:rPr>
        <w:t>ld</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ngs</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2"/>
          <w:sz w:val="20"/>
          <w:szCs w:val="22"/>
          <w:lang w:val="en-US" w:eastAsia="en-US" w:bidi="ar-SA"/>
        </w:rPr>
        <w:t>南朝向指南偏东30°</w:t>
      </w:r>
      <w:r>
        <w:rPr>
          <w:rFonts w:ascii="MingLiU" w:hAnsi="Calibri"/>
          <w:color w:val="000000"/>
          <w:spacing w:val="2"/>
          <w:sz w:val="20"/>
          <w:szCs w:val="22"/>
          <w:lang w:val="en-US" w:eastAsia="en-US" w:bidi="ar-SA"/>
        </w:rPr>
        <w:t xml:space="preserve"> </w:t>
      </w:r>
      <w:r>
        <w:rPr>
          <w:rFonts w:ascii="MingLiU" w:hAnsi="MingLiU" w:cs="MingLiU"/>
          <w:color w:val="000000"/>
          <w:spacing w:val="-3"/>
          <w:sz w:val="20"/>
          <w:szCs w:val="22"/>
          <w:lang w:val="en-US" w:eastAsia="en-US" w:bidi="ar-SA"/>
        </w:rPr>
        <w:t>至南偏西30°</w:t>
      </w:r>
      <w:r>
        <w:rPr>
          <w:rFonts w:ascii="MingLiU" w:hAnsi="Calibri"/>
          <w:color w:val="000000"/>
          <w:spacing w:val="3"/>
          <w:sz w:val="20"/>
          <w:szCs w:val="22"/>
          <w:lang w:val="en-US" w:eastAsia="en-US" w:bidi="ar-SA"/>
        </w:rPr>
        <w:t xml:space="preserve"> </w:t>
      </w:r>
      <w:r>
        <w:rPr>
          <w:rFonts w:ascii="MingLiU" w:hAnsi="MingLiU" w:cs="MingLiU"/>
          <w:color w:val="000000"/>
          <w:spacing w:val="-2"/>
          <w:sz w:val="20"/>
          <w:szCs w:val="22"/>
          <w:lang w:val="en-US" w:eastAsia="en-US" w:bidi="ar-SA"/>
        </w:rPr>
        <w:t>；北朝向指北偏东30°</w:t>
      </w:r>
      <w:r>
        <w:rPr>
          <w:rFonts w:ascii="MingLiU" w:hAnsi="Calibri"/>
          <w:color w:val="000000"/>
          <w:spacing w:val="2"/>
          <w:sz w:val="20"/>
          <w:szCs w:val="22"/>
          <w:lang w:val="en-US" w:eastAsia="en-US" w:bidi="ar-SA"/>
        </w:rPr>
        <w:t xml:space="preserve"> </w:t>
      </w:r>
      <w:r>
        <w:rPr>
          <w:rFonts w:ascii="MingLiU" w:hAnsi="MingLiU" w:cs="MingLiU"/>
          <w:color w:val="000000"/>
          <w:spacing w:val="-3"/>
          <w:sz w:val="20"/>
          <w:szCs w:val="22"/>
          <w:lang w:val="en-US" w:eastAsia="en-US" w:bidi="ar-SA"/>
        </w:rPr>
        <w:t>至北偏西30°</w:t>
      </w:r>
      <w:r>
        <w:rPr>
          <w:rFonts w:ascii="MingLiU" w:hAnsi="Calibri"/>
          <w:color w:val="000000"/>
          <w:spacing w:val="3"/>
          <w:sz w:val="20"/>
          <w:szCs w:val="22"/>
          <w:lang w:val="en-US" w:eastAsia="en-US" w:bidi="ar-SA"/>
        </w:rPr>
        <w:t xml:space="preserve"> </w:t>
      </w:r>
      <w:r>
        <w:rPr>
          <w:rFonts w:ascii="MingLiU" w:hAnsi="MingLiU" w:cs="MingLiU"/>
          <w:color w:val="000000"/>
          <w:spacing w:val="-2"/>
          <w:sz w:val="20"/>
          <w:szCs w:val="22"/>
          <w:lang w:val="en-US" w:eastAsia="en-US" w:bidi="ar-SA"/>
        </w:rPr>
        <w:t>；东朝向指东偏南60°</w:t>
      </w:r>
      <w:r>
        <w:rPr>
          <w:rFonts w:ascii="MingLiU" w:hAnsi="Calibri"/>
          <w:color w:val="000000"/>
          <w:spacing w:val="2"/>
          <w:sz w:val="20"/>
          <w:szCs w:val="22"/>
          <w:lang w:val="en-US" w:eastAsia="en-US" w:bidi="ar-SA"/>
        </w:rPr>
        <w:t xml:space="preserve"> </w:t>
      </w:r>
      <w:r>
        <w:rPr>
          <w:rFonts w:ascii="MingLiU" w:hAnsi="MingLiU" w:cs="MingLiU"/>
          <w:color w:val="000000"/>
          <w:spacing w:val="-3"/>
          <w:sz w:val="20"/>
          <w:szCs w:val="22"/>
          <w:lang w:val="en-US" w:eastAsia="en-US" w:bidi="ar-SA"/>
        </w:rPr>
        <w:t>至东偏北60°</w:t>
      </w:r>
      <w:r>
        <w:rPr>
          <w:rFonts w:ascii="MingLiU" w:hAnsi="Calibri"/>
          <w:color w:val="000000"/>
          <w:spacing w:val="3"/>
          <w:sz w:val="20"/>
          <w:szCs w:val="22"/>
          <w:lang w:val="en-US" w:eastAsia="en-US" w:bidi="ar-SA"/>
        </w:rPr>
        <w:t xml:space="preserve"> </w:t>
      </w:r>
      <w:r>
        <w:rPr>
          <w:rFonts w:ascii="MingLiU" w:hAnsi="MingLiU" w:cs="MingLiU"/>
          <w:color w:val="000000"/>
          <w:sz w:val="20"/>
          <w:szCs w:val="22"/>
          <w:lang w:val="en-US" w:eastAsia="en-US" w:bidi="ar-SA"/>
        </w:rPr>
        <w:t>；西朝</w:t>
      </w:r>
      <w:r>
        <w:rPr>
          <w:rFonts w:ascii="MingLiU" w:hAnsi="MingLiU" w:cs="MingLiU"/>
          <w:color w:val="000000"/>
          <w:sz w:val="20"/>
          <w:szCs w:val="22"/>
          <w:lang w:val="en-US" w:eastAsia="en-US" w:bidi="ar-SA"/>
        </w:rPr>
        <w:cr/>
      </w:r>
      <w:r>
        <w:rPr>
          <w:rFonts w:ascii="MingLiU" w:hAnsi="MingLiU" w:cs="MingLiU"/>
          <w:color w:val="000000"/>
          <w:spacing w:val="-2"/>
          <w:sz w:val="20"/>
          <w:szCs w:val="22"/>
          <w:lang w:val="en-US" w:eastAsia="en-US" w:bidi="ar-SA"/>
        </w:rPr>
        <w:t>向指西偏南60°</w:t>
      </w:r>
      <w:r>
        <w:rPr>
          <w:rFonts w:ascii="MingLiU" w:hAnsi="Calibri"/>
          <w:color w:val="000000"/>
          <w:spacing w:val="2"/>
          <w:sz w:val="20"/>
          <w:szCs w:val="22"/>
          <w:lang w:val="en-US" w:eastAsia="en-US" w:bidi="ar-SA"/>
        </w:rPr>
        <w:t xml:space="preserve"> </w:t>
      </w:r>
      <w:r>
        <w:rPr>
          <w:rFonts w:ascii="MingLiU" w:hAnsi="MingLiU" w:cs="MingLiU"/>
          <w:color w:val="000000"/>
          <w:spacing w:val="-3"/>
          <w:sz w:val="20"/>
          <w:szCs w:val="22"/>
          <w:lang w:val="en-US" w:eastAsia="en-US" w:bidi="ar-SA"/>
        </w:rPr>
        <w:t>至西偏北60°</w:t>
      </w:r>
      <w:r>
        <w:rPr>
          <w:rFonts w:ascii="MingLiU" w:hAnsi="Calibri"/>
          <w:color w:val="000000"/>
          <w:spacing w:val="3"/>
          <w:sz w:val="20"/>
          <w:szCs w:val="22"/>
          <w:lang w:val="en-US" w:eastAsia="en-US" w:bidi="ar-SA"/>
        </w:rPr>
        <w:t xml:space="preserve"> </w:t>
      </w:r>
      <w:r>
        <w:rPr>
          <w:rFonts w:ascii="MingLiU" w:hAnsi="MingLiU" w:cs="MingLiU"/>
          <w:color w:val="000000"/>
          <w:sz w:val="20"/>
          <w:szCs w:val="22"/>
          <w:lang w:val="en-US" w:eastAsia="en-US" w:bidi="ar-SA"/>
        </w:rPr>
        <w:t>。</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6热惰性指标（D</w:t>
      </w:r>
      <w:r>
        <w:rPr>
          <w:rFonts w:ascii="MingLiU" w:hAnsi="Calibri"/>
          <w:color w:val="000000"/>
          <w:spacing w:val="-52"/>
          <w:sz w:val="20"/>
          <w:szCs w:val="22"/>
          <w:lang w:val="en-US" w:eastAsia="en-US" w:bidi="ar-SA"/>
        </w:rPr>
        <w:t xml:space="preserve"> </w:t>
      </w:r>
      <w:r>
        <w:rPr>
          <w:rFonts w:ascii="MingLiU" w:hAnsi="MingLiU" w:cs="MingLiU"/>
          <w:color w:val="000000"/>
          <w:sz w:val="20"/>
          <w:szCs w:val="22"/>
          <w:lang w:val="en-US" w:eastAsia="en-US" w:bidi="ar-SA"/>
        </w:rPr>
        <w:t>）</w:t>
      </w:r>
      <w:r>
        <w:rPr>
          <w:rFonts w:ascii="MingLiU" w:hAnsi="Calibri"/>
          <w:color w:val="000000"/>
          <w:spacing w:val="-52"/>
          <w:sz w:val="20"/>
          <w:szCs w:val="22"/>
          <w:lang w:val="en-US" w:eastAsia="en-US" w:bidi="ar-SA"/>
        </w:rPr>
        <w:t>i</w:t>
      </w:r>
      <w:r>
        <w:rPr>
          <w:rFonts w:ascii="MingLiU" w:hAnsi="Calibri"/>
          <w:color w:val="000000"/>
          <w:spacing w:val="-1"/>
          <w:sz w:val="20"/>
          <w:szCs w:val="22"/>
          <w:lang w:val="en-US" w:eastAsia="en-US" w:bidi="ar-SA"/>
        </w:rPr>
        <w:t>ndex</w:t>
      </w:r>
      <w:r>
        <w:rPr>
          <w:rFonts w:ascii="MingLiU" w:hAnsi="Calibri"/>
          <w:color w:val="000000"/>
          <w:spacing w:val="-65"/>
          <w:sz w:val="20"/>
          <w:szCs w:val="22"/>
          <w:lang w:val="en-US" w:eastAsia="en-US" w:bidi="ar-SA"/>
        </w:rPr>
        <w:t xml:space="preserve"> </w:t>
      </w:r>
      <w:r>
        <w:rPr>
          <w:rFonts w:ascii="MingLiU" w:hAnsi="Calibri"/>
          <w:color w:val="000000"/>
          <w:spacing w:val="-13"/>
          <w:sz w:val="20"/>
          <w:szCs w:val="22"/>
          <w:lang w:val="en-US" w:eastAsia="en-US" w:bidi="ar-SA"/>
        </w:rPr>
        <w:t>oftherm</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a</w:t>
      </w:r>
      <w:r>
        <w:rPr>
          <w:rFonts w:ascii="MingLiU" w:hAnsi="Calibri"/>
          <w:color w:val="000000"/>
          <w:spacing w:val="-54"/>
          <w:sz w:val="20"/>
          <w:szCs w:val="22"/>
          <w:lang w:val="en-US" w:eastAsia="en-US" w:bidi="ar-SA"/>
        </w:rPr>
        <w:t>l</w:t>
      </w:r>
      <w:r>
        <w:rPr>
          <w:rFonts w:ascii="MingLiU" w:hAnsi="Calibri"/>
          <w:color w:val="000000"/>
          <w:spacing w:val="-26"/>
          <w:sz w:val="20"/>
          <w:szCs w:val="22"/>
          <w:lang w:val="en-US" w:eastAsia="en-US" w:bidi="ar-SA"/>
        </w:rPr>
        <w:t>in</w:t>
      </w:r>
      <w:r>
        <w:rPr>
          <w:rFonts w:ascii="MingLiU" w:hAnsi="Calibri"/>
          <w:color w:val="000000"/>
          <w:spacing w:val="-95"/>
          <w:sz w:val="20"/>
          <w:szCs w:val="22"/>
          <w:lang w:val="en-US" w:eastAsia="en-US" w:bidi="ar-SA"/>
        </w:rPr>
        <w:t xml:space="preserve"> </w:t>
      </w:r>
      <w:r>
        <w:rPr>
          <w:rFonts w:ascii="MingLiU" w:hAnsi="Calibri"/>
          <w:color w:val="000000"/>
          <w:spacing w:val="-16"/>
          <w:sz w:val="20"/>
          <w:szCs w:val="22"/>
          <w:lang w:val="en-US" w:eastAsia="en-US" w:bidi="ar-SA"/>
        </w:rPr>
        <w:t>ert</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a</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表征围护结构抵御温度波动和热流波动能力的无量纲指标，其值等于各构造层材料热阻与蓄热系数的乘积之和。</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2"/>
          <w:sz w:val="20"/>
          <w:szCs w:val="22"/>
          <w:lang w:val="en-US" w:eastAsia="en-US" w:bidi="ar-SA"/>
        </w:rPr>
        <w:t>7热桥therm</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a</w:t>
      </w:r>
      <w:r>
        <w:rPr>
          <w:rFonts w:ascii="MingLiU" w:hAnsi="Calibri"/>
          <w:color w:val="000000"/>
          <w:spacing w:val="-54"/>
          <w:sz w:val="20"/>
          <w:szCs w:val="22"/>
          <w:lang w:val="en-US" w:eastAsia="en-US" w:bidi="ar-SA"/>
        </w:rPr>
        <w:t>l</w:t>
      </w:r>
      <w:r>
        <w:rPr>
          <w:rFonts w:ascii="MingLiU" w:hAnsi="Calibri"/>
          <w:color w:val="000000"/>
          <w:spacing w:val="1"/>
          <w:sz w:val="20"/>
          <w:szCs w:val="22"/>
          <w:lang w:val="en-US" w:eastAsia="en-US" w:bidi="ar-SA"/>
        </w:rPr>
        <w:t>br</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dge</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建筑物外围护结构中具有以下热工特征的部位，称为热桥。在室内采暖条件下，该部位内表面温度比主体部位低；</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在室内空调降温条件下，该部位内表面温度又比主体部位高。</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6"/>
          <w:sz w:val="20"/>
          <w:szCs w:val="22"/>
          <w:lang w:val="en-US" w:eastAsia="en-US" w:bidi="ar-SA"/>
        </w:rPr>
        <w:t>8遮阳系数shad</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ng</w:t>
      </w:r>
      <w:r>
        <w:rPr>
          <w:rFonts w:ascii="MingLiU" w:hAnsi="Calibri"/>
          <w:color w:val="000000"/>
          <w:spacing w:val="-70"/>
          <w:sz w:val="20"/>
          <w:szCs w:val="22"/>
          <w:lang w:val="en-US" w:eastAsia="en-US" w:bidi="ar-SA"/>
        </w:rPr>
        <w:t xml:space="preserve"> </w:t>
      </w:r>
      <w:r>
        <w:rPr>
          <w:rFonts w:ascii="MingLiU" w:hAnsi="Calibri"/>
          <w:color w:val="000000"/>
          <w:spacing w:val="-15"/>
          <w:sz w:val="20"/>
          <w:szCs w:val="22"/>
          <w:lang w:val="en-US" w:eastAsia="en-US" w:bidi="ar-SA"/>
        </w:rPr>
        <w:t>coeff</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15"/>
          <w:sz w:val="20"/>
          <w:szCs w:val="22"/>
          <w:lang w:val="en-US" w:eastAsia="en-US" w:bidi="ar-SA"/>
        </w:rPr>
        <w:t>ent(SC</w:t>
      </w:r>
      <w:r>
        <w:rPr>
          <w:rFonts w:ascii="MingLiU" w:hAnsi="Calibri"/>
          <w:color w:val="000000"/>
          <w:spacing w:val="-61"/>
          <w:sz w:val="20"/>
          <w:szCs w:val="22"/>
          <w:lang w:val="en-US" w:eastAsia="en-US" w:bidi="ar-SA"/>
        </w:rPr>
        <w:t xml:space="preserve"> </w:t>
      </w:r>
      <w:r>
        <w:rPr>
          <w:rFonts w:ascii="MingLiU" w:hAnsi="Calibri"/>
          <w:color w:val="000000"/>
          <w:sz w:val="20"/>
          <w:szCs w:val="22"/>
          <w:lang w:val="en-US" w:eastAsia="en-US" w:bidi="ar-SA"/>
        </w:rPr>
        <w:t>)</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在给定条件下，玻璃、外窗或玻璃幕墙的太阳能总透射比，与相同条件下相同面积的标准玻璃（3m</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m</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厚透明玻璃</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）的太阳能总透射比的比值。</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5"/>
          <w:sz w:val="20"/>
          <w:szCs w:val="22"/>
          <w:lang w:val="en-US" w:eastAsia="en-US" w:bidi="ar-SA"/>
        </w:rPr>
        <w:t>9外窗综合遮阳系数overa</w:t>
      </w:r>
      <w:r>
        <w:rPr>
          <w:rFonts w:ascii="MingLiU" w:hAnsi="Calibri"/>
          <w:color w:val="000000"/>
          <w:spacing w:val="-54"/>
          <w:sz w:val="20"/>
          <w:szCs w:val="22"/>
          <w:lang w:val="en-US" w:eastAsia="en-US" w:bidi="ar-SA"/>
        </w:rPr>
        <w:t>l</w:t>
      </w:r>
      <w:r>
        <w:rPr>
          <w:rFonts w:ascii="MingLiU" w:hAnsi="Calibri"/>
          <w:color w:val="000000"/>
          <w:spacing w:val="-15"/>
          <w:sz w:val="20"/>
          <w:szCs w:val="22"/>
          <w:lang w:val="en-US" w:eastAsia="en-US" w:bidi="ar-SA"/>
        </w:rPr>
        <w:t>lsh</w:t>
      </w:r>
      <w:r>
        <w:rPr>
          <w:rFonts w:ascii="MingLiU" w:hAnsi="Calibri"/>
          <w:color w:val="000000"/>
          <w:spacing w:val="-96"/>
          <w:sz w:val="20"/>
          <w:szCs w:val="22"/>
          <w:lang w:val="en-US" w:eastAsia="en-US" w:bidi="ar-SA"/>
        </w:rPr>
        <w:t xml:space="preserve"> </w:t>
      </w:r>
      <w:r>
        <w:rPr>
          <w:rFonts w:ascii="MingLiU" w:hAnsi="Calibri"/>
          <w:color w:val="000000"/>
          <w:spacing w:val="-8"/>
          <w:sz w:val="20"/>
          <w:szCs w:val="22"/>
          <w:lang w:val="en-US" w:eastAsia="en-US" w:bidi="ar-SA"/>
        </w:rPr>
        <w:t>ad</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ng</w:t>
      </w:r>
      <w:r>
        <w:rPr>
          <w:rFonts w:ascii="MingLiU" w:hAnsi="Calibri"/>
          <w:color w:val="000000"/>
          <w:spacing w:val="-70"/>
          <w:sz w:val="20"/>
          <w:szCs w:val="22"/>
          <w:lang w:val="en-US" w:eastAsia="en-US" w:bidi="ar-SA"/>
        </w:rPr>
        <w:t xml:space="preserve"> </w:t>
      </w:r>
      <w:r>
        <w:rPr>
          <w:rFonts w:ascii="MingLiU" w:hAnsi="Calibri"/>
          <w:color w:val="000000"/>
          <w:spacing w:val="-15"/>
          <w:sz w:val="20"/>
          <w:szCs w:val="22"/>
          <w:lang w:val="en-US" w:eastAsia="en-US" w:bidi="ar-SA"/>
        </w:rPr>
        <w:t>coeff</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entofw</w:t>
      </w:r>
      <w:r>
        <w:rPr>
          <w:rFonts w:ascii="MingLiU" w:hAnsi="Calibri"/>
          <w:color w:val="000000"/>
          <w:spacing w:val="-52"/>
          <w:sz w:val="20"/>
          <w:szCs w:val="22"/>
          <w:lang w:val="en-US" w:eastAsia="en-US" w:bidi="ar-SA"/>
        </w:rPr>
        <w:t>i</w:t>
      </w:r>
      <w:r>
        <w:rPr>
          <w:rFonts w:ascii="MingLiU" w:hAnsi="Calibri"/>
          <w:color w:val="000000"/>
          <w:spacing w:val="2"/>
          <w:sz w:val="20"/>
          <w:szCs w:val="22"/>
          <w:lang w:val="en-US" w:eastAsia="en-US" w:bidi="ar-SA"/>
        </w:rPr>
        <w:t>ndow(SC</w:t>
      </w:r>
      <w:r>
        <w:rPr>
          <w:rFonts w:ascii="MingLiU" w:hAnsi="Calibri"/>
          <w:color w:val="000000"/>
          <w:spacing w:val="-61"/>
          <w:sz w:val="20"/>
          <w:szCs w:val="22"/>
          <w:lang w:val="en-US" w:eastAsia="en-US" w:bidi="ar-SA"/>
        </w:rPr>
        <w:t xml:space="preserve"> </w:t>
      </w:r>
      <w:r>
        <w:rPr>
          <w:rFonts w:ascii="MingLiU" w:hAnsi="Calibri"/>
          <w:color w:val="000000"/>
          <w:spacing w:val="15"/>
          <w:sz w:val="20"/>
          <w:szCs w:val="22"/>
          <w:lang w:val="en-US" w:eastAsia="en-US" w:bidi="ar-SA"/>
        </w:rPr>
        <w:t>w)</w:t>
      </w:r>
    </w:p>
    <w:p>
      <w:pPr>
        <w:spacing w:before="1397"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1/13</w:t>
      </w:r>
    </w:p>
    <w:p>
      <w:pPr>
        <w:spacing w:line="258" w:lineRule="exact"/>
        <w:ind w:right="1276"/>
        <w:jc w:val="center"/>
        <w:rPr>
          <w:rFonts w:ascii="MingLiU" w:hAnsi="Calibri"/>
          <w:color w:val="000000"/>
          <w:sz w:val="20"/>
          <w:szCs w:val="22"/>
          <w:lang w:val="en-US" w:eastAsia="en-US" w:bidi="ar-SA"/>
        </w:rPr>
      </w:pPr>
      <w:r>
        <w:pict>
          <v:shape id="_x0000_s1029" o:spid="_x0000_s1029" o:spt="75" type="#_x0000_t75" style="position:absolute;left:0pt;margin-left:41.5pt;margin-top:53.85pt;height:3pt;width:512.25pt;mso-position-horizontal-relative:page;mso-position-vertical-relative:page;z-index:-251643904;mso-width-relative:page;mso-height-relative:page;" filled="f" o:preferrelative="t" stroked="f" coordsize="21600,21600">
            <v:path/>
            <v:fill on="f" focussize="0,0"/>
            <v:stroke on="f" joinstyle="miter"/>
            <v:imagedata r:id="rId4" o:title=""/>
            <o:lock v:ext="edit" aspectratio="t"/>
          </v:shape>
        </w:pict>
      </w:r>
      <w:r>
        <w:pict>
          <v:shape id="_x0000_s1030" o:spid="_x0000_s1030" o:spt="75" type="#_x0000_t75" style="position:absolute;left:0pt;margin-left:41.5pt;margin-top:811.65pt;height:3pt;width:512.25pt;mso-position-horizontal-relative:page;mso-position-vertical-relative:page;z-index:-251657216;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472"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考虑窗本身和窗口的建筑遮阳装置综合遮阳效果的一个系数，其值为窗本身的遮阳系数（SC）与窗口的建筑外遮</w:t>
      </w:r>
      <w:r>
        <w:rPr>
          <w:rFonts w:ascii="MingLiU" w:hAnsi="MingLiU" w:cs="MingLiU"/>
          <w:color w:val="000000"/>
          <w:spacing w:val="1"/>
          <w:sz w:val="20"/>
          <w:szCs w:val="22"/>
          <w:lang w:val="en-US" w:eastAsia="en-US" w:bidi="ar-SA"/>
        </w:rPr>
        <w:cr/>
      </w:r>
      <w:r>
        <w:rPr>
          <w:rFonts w:ascii="MingLiU" w:hAnsi="MingLiU" w:cs="MingLiU"/>
          <w:color w:val="000000"/>
          <w:spacing w:val="-1"/>
          <w:sz w:val="20"/>
          <w:szCs w:val="22"/>
          <w:lang w:val="en-US" w:eastAsia="en-US" w:bidi="ar-SA"/>
        </w:rPr>
        <w:t>阳系数（SD</w:t>
      </w:r>
      <w:r>
        <w:rPr>
          <w:rFonts w:ascii="MingLiU" w:hAnsi="Calibri"/>
          <w:color w:val="000000"/>
          <w:spacing w:val="-52"/>
          <w:sz w:val="20"/>
          <w:szCs w:val="22"/>
          <w:lang w:val="en-US" w:eastAsia="en-US" w:bidi="ar-SA"/>
        </w:rPr>
        <w:t xml:space="preserve"> </w:t>
      </w:r>
      <w:r>
        <w:rPr>
          <w:rFonts w:ascii="MingLiU" w:hAnsi="MingLiU" w:cs="MingLiU"/>
          <w:color w:val="000000"/>
          <w:sz w:val="20"/>
          <w:szCs w:val="22"/>
          <w:lang w:val="en-US" w:eastAsia="en-US" w:bidi="ar-SA"/>
        </w:rPr>
        <w:t>）的乘积。</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10玻璃可见光透射比（Tv）g</w:t>
      </w:r>
      <w:r>
        <w:rPr>
          <w:rFonts w:ascii="MingLiU" w:hAnsi="Calibri"/>
          <w:color w:val="000000"/>
          <w:spacing w:val="-54"/>
          <w:sz w:val="20"/>
          <w:szCs w:val="22"/>
          <w:lang w:val="en-US" w:eastAsia="en-US" w:bidi="ar-SA"/>
        </w:rPr>
        <w:t>l</w:t>
      </w:r>
      <w:r>
        <w:rPr>
          <w:rFonts w:ascii="MingLiU" w:hAnsi="Calibri"/>
          <w:color w:val="000000"/>
          <w:spacing w:val="-16"/>
          <w:sz w:val="20"/>
          <w:szCs w:val="22"/>
          <w:lang w:val="en-US" w:eastAsia="en-US" w:bidi="ar-SA"/>
        </w:rPr>
        <w:t>ass</w:t>
      </w:r>
      <w:r>
        <w:rPr>
          <w:rFonts w:ascii="MingLiU" w:hAnsi="Calibri"/>
          <w:color w:val="000000"/>
          <w:spacing w:val="-91"/>
          <w:sz w:val="20"/>
          <w:szCs w:val="22"/>
          <w:lang w:val="en-US" w:eastAsia="en-US" w:bidi="ar-SA"/>
        </w:rPr>
        <w:t xml:space="preserve"> </w:t>
      </w:r>
      <w:r>
        <w:rPr>
          <w:rFonts w:ascii="MingLiU" w:hAnsi="Calibri"/>
          <w:color w:val="000000"/>
          <w:spacing w:val="-9"/>
          <w:sz w:val="20"/>
          <w:szCs w:val="22"/>
          <w:lang w:val="en-US" w:eastAsia="en-US" w:bidi="ar-SA"/>
        </w:rPr>
        <w:t>ves</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b</w:t>
      </w:r>
      <w:r>
        <w:rPr>
          <w:rFonts w:ascii="MingLiU" w:hAnsi="Calibri"/>
          <w:color w:val="000000"/>
          <w:spacing w:val="-54"/>
          <w:sz w:val="20"/>
          <w:szCs w:val="22"/>
          <w:lang w:val="en-US" w:eastAsia="en-US" w:bidi="ar-SA"/>
        </w:rPr>
        <w:t>l</w:t>
      </w:r>
      <w:r>
        <w:rPr>
          <w:rFonts w:ascii="MingLiU" w:hAnsi="Calibri"/>
          <w:color w:val="000000"/>
          <w:sz w:val="20"/>
          <w:szCs w:val="22"/>
          <w:lang w:val="en-US" w:eastAsia="en-US" w:bidi="ar-SA"/>
        </w:rPr>
        <w:t>e</w:t>
      </w:r>
      <w:r>
        <w:rPr>
          <w:rFonts w:ascii="MingLiU" w:hAnsi="Calibri"/>
          <w:color w:val="000000"/>
          <w:spacing w:val="-76"/>
          <w:sz w:val="20"/>
          <w:szCs w:val="22"/>
          <w:lang w:val="en-US" w:eastAsia="en-US" w:bidi="ar-SA"/>
        </w:rPr>
        <w:t xml:space="preserve"> </w:t>
      </w:r>
      <w:r>
        <w:rPr>
          <w:rFonts w:ascii="MingLiU" w:hAnsi="Calibri"/>
          <w:color w:val="000000"/>
          <w:spacing w:val="-20"/>
          <w:sz w:val="20"/>
          <w:szCs w:val="22"/>
          <w:lang w:val="en-US" w:eastAsia="en-US" w:bidi="ar-SA"/>
        </w:rPr>
        <w:t>transm</w:t>
      </w:r>
      <w:r>
        <w:rPr>
          <w:rFonts w:ascii="MingLiU" w:hAnsi="Calibri"/>
          <w:color w:val="000000"/>
          <w:spacing w:val="-52"/>
          <w:sz w:val="20"/>
          <w:szCs w:val="22"/>
          <w:lang w:val="en-US" w:eastAsia="en-US" w:bidi="ar-SA"/>
        </w:rPr>
        <w:t>i</w:t>
      </w:r>
      <w:r>
        <w:rPr>
          <w:rFonts w:ascii="MingLiU" w:hAnsi="Calibri"/>
          <w:color w:val="000000"/>
          <w:spacing w:val="-26"/>
          <w:sz w:val="20"/>
          <w:szCs w:val="22"/>
          <w:lang w:val="en-US" w:eastAsia="en-US" w:bidi="ar-SA"/>
        </w:rPr>
        <w:t>ttan</w:t>
      </w:r>
      <w:r>
        <w:rPr>
          <w:rFonts w:ascii="MingLiU" w:hAnsi="Calibri"/>
          <w:color w:val="000000"/>
          <w:spacing w:val="-95"/>
          <w:sz w:val="20"/>
          <w:szCs w:val="22"/>
          <w:lang w:val="en-US" w:eastAsia="en-US" w:bidi="ar-SA"/>
        </w:rPr>
        <w:t xml:space="preserve"> </w:t>
      </w:r>
      <w:r>
        <w:rPr>
          <w:rFonts w:ascii="MingLiU" w:hAnsi="Calibri"/>
          <w:color w:val="000000"/>
          <w:spacing w:val="-7"/>
          <w:sz w:val="20"/>
          <w:szCs w:val="22"/>
          <w:lang w:val="en-US" w:eastAsia="en-US" w:bidi="ar-SA"/>
        </w:rPr>
        <w:t>ce</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采用人眼视见函数进行加权，标准光源透过玻璃成为室内的可见光通量与投射到玻璃的可见光通量的比值。</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3"/>
          <w:sz w:val="20"/>
          <w:szCs w:val="22"/>
          <w:lang w:val="en-US" w:eastAsia="en-US" w:bidi="ar-SA"/>
        </w:rPr>
        <w:t>11采光系数day</w:t>
      </w:r>
      <w:r>
        <w:rPr>
          <w:rFonts w:ascii="MingLiU" w:hAnsi="Calibri"/>
          <w:color w:val="000000"/>
          <w:spacing w:val="-54"/>
          <w:sz w:val="20"/>
          <w:szCs w:val="22"/>
          <w:lang w:val="en-US" w:eastAsia="en-US" w:bidi="ar-SA"/>
        </w:rPr>
        <w:t>l</w:t>
      </w:r>
      <w:r>
        <w:rPr>
          <w:rFonts w:ascii="MingLiU" w:hAnsi="Calibri"/>
          <w:color w:val="000000"/>
          <w:spacing w:val="-21"/>
          <w:sz w:val="20"/>
          <w:szCs w:val="22"/>
          <w:lang w:val="en-US" w:eastAsia="en-US" w:bidi="ar-SA"/>
        </w:rPr>
        <w:t>igh</w:t>
      </w:r>
      <w:r>
        <w:rPr>
          <w:rFonts w:ascii="MingLiU" w:hAnsi="Calibri"/>
          <w:color w:val="000000"/>
          <w:spacing w:val="-96"/>
          <w:sz w:val="20"/>
          <w:szCs w:val="22"/>
          <w:lang w:val="en-US" w:eastAsia="en-US" w:bidi="ar-SA"/>
        </w:rPr>
        <w:t xml:space="preserve"> </w:t>
      </w:r>
      <w:r>
        <w:rPr>
          <w:rFonts w:ascii="MingLiU" w:hAnsi="Calibri"/>
          <w:color w:val="000000"/>
          <w:spacing w:val="-21"/>
          <w:sz w:val="20"/>
          <w:szCs w:val="22"/>
          <w:lang w:val="en-US" w:eastAsia="en-US" w:bidi="ar-SA"/>
        </w:rPr>
        <w:t>tfacto</w:t>
      </w:r>
      <w:r>
        <w:rPr>
          <w:rFonts w:ascii="MingLiU" w:hAnsi="Calibri"/>
          <w:color w:val="000000"/>
          <w:spacing w:val="-95"/>
          <w:sz w:val="20"/>
          <w:szCs w:val="22"/>
          <w:lang w:val="en-US" w:eastAsia="en-US" w:bidi="ar-SA"/>
        </w:rPr>
        <w:t xml:space="preserve"> </w:t>
      </w:r>
      <w:r>
        <w:rPr>
          <w:rFonts w:ascii="MingLiU" w:hAnsi="Calibri"/>
          <w:color w:val="000000"/>
          <w:sz w:val="20"/>
          <w:szCs w:val="22"/>
          <w:lang w:val="en-US" w:eastAsia="en-US" w:bidi="ar-SA"/>
        </w:rPr>
        <w:t>r</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在室内给定平面上的一点，由直接或间接地接收来自假定和已知天空亮度分布的天空漫射光而产生的照度与同一时</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刻该天空半球在室外无遮挡水平面上产生的天空漫射光照度之比。</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3"/>
          <w:sz w:val="20"/>
          <w:szCs w:val="22"/>
          <w:lang w:val="en-US" w:eastAsia="en-US" w:bidi="ar-SA"/>
        </w:rPr>
        <w:t>12太阳辐射吸收系数（ρ）so</w:t>
      </w:r>
      <w:r>
        <w:rPr>
          <w:rFonts w:ascii="MingLiU" w:hAnsi="Calibri"/>
          <w:color w:val="000000"/>
          <w:spacing w:val="-54"/>
          <w:sz w:val="20"/>
          <w:szCs w:val="22"/>
          <w:lang w:val="en-US" w:eastAsia="en-US" w:bidi="ar-SA"/>
        </w:rPr>
        <w:t>l</w:t>
      </w:r>
      <w:r>
        <w:rPr>
          <w:rFonts w:ascii="MingLiU" w:hAnsi="Calibri"/>
          <w:color w:val="000000"/>
          <w:spacing w:val="-8"/>
          <w:sz w:val="20"/>
          <w:szCs w:val="22"/>
          <w:lang w:val="en-US" w:eastAsia="en-US" w:bidi="ar-SA"/>
        </w:rPr>
        <w:t>ar</w:t>
      </w:r>
      <w:r>
        <w:rPr>
          <w:rFonts w:ascii="MingLiU" w:hAnsi="Calibri"/>
          <w:color w:val="000000"/>
          <w:spacing w:val="-91"/>
          <w:sz w:val="20"/>
          <w:szCs w:val="22"/>
          <w:lang w:val="en-US" w:eastAsia="en-US" w:bidi="ar-SA"/>
        </w:rPr>
        <w:t xml:space="preserve"> </w:t>
      </w:r>
      <w:r>
        <w:rPr>
          <w:rFonts w:ascii="MingLiU" w:hAnsi="Calibri"/>
          <w:color w:val="000000"/>
          <w:spacing w:val="-12"/>
          <w:sz w:val="20"/>
          <w:szCs w:val="22"/>
          <w:lang w:val="en-US" w:eastAsia="en-US" w:bidi="ar-SA"/>
        </w:rPr>
        <w:t>abso</w:t>
      </w:r>
      <w:r>
        <w:rPr>
          <w:rFonts w:ascii="MingLiU" w:hAnsi="Calibri"/>
          <w:color w:val="000000"/>
          <w:spacing w:val="-95"/>
          <w:sz w:val="20"/>
          <w:szCs w:val="22"/>
          <w:lang w:val="en-US" w:eastAsia="en-US" w:bidi="ar-SA"/>
        </w:rPr>
        <w:t xml:space="preserve"> </w:t>
      </w:r>
      <w:r>
        <w:rPr>
          <w:rFonts w:ascii="MingLiU" w:hAnsi="Calibri"/>
          <w:color w:val="000000"/>
          <w:spacing w:val="-16"/>
          <w:sz w:val="20"/>
          <w:szCs w:val="22"/>
          <w:lang w:val="en-US" w:eastAsia="en-US" w:bidi="ar-SA"/>
        </w:rPr>
        <w:t>rp</w:t>
      </w:r>
      <w:r>
        <w:rPr>
          <w:rFonts w:ascii="MingLiU" w:hAnsi="Calibri"/>
          <w:color w:val="000000"/>
          <w:spacing w:val="-95"/>
          <w:sz w:val="20"/>
          <w:szCs w:val="22"/>
          <w:lang w:val="en-US" w:eastAsia="en-US" w:bidi="ar-SA"/>
        </w:rPr>
        <w:t xml:space="preserve"> </w:t>
      </w:r>
      <w:r>
        <w:rPr>
          <w:rFonts w:ascii="MingLiU" w:hAnsi="Calibri"/>
          <w:color w:val="000000"/>
          <w:spacing w:val="-20"/>
          <w:sz w:val="20"/>
          <w:szCs w:val="22"/>
          <w:lang w:val="en-US" w:eastAsia="en-US" w:bidi="ar-SA"/>
        </w:rPr>
        <w:t>tan</w:t>
      </w:r>
      <w:r>
        <w:rPr>
          <w:rFonts w:ascii="MingLiU" w:hAnsi="Calibri"/>
          <w:color w:val="000000"/>
          <w:spacing w:val="-95"/>
          <w:sz w:val="20"/>
          <w:szCs w:val="22"/>
          <w:lang w:val="en-US" w:eastAsia="en-US" w:bidi="ar-SA"/>
        </w:rPr>
        <w:t xml:space="preserve"> </w:t>
      </w:r>
      <w:r>
        <w:rPr>
          <w:rFonts w:ascii="MingLiU" w:hAnsi="Calibri"/>
          <w:color w:val="000000"/>
          <w:spacing w:val="-7"/>
          <w:sz w:val="20"/>
          <w:szCs w:val="22"/>
          <w:lang w:val="en-US" w:eastAsia="en-US" w:bidi="ar-SA"/>
        </w:rPr>
        <w:t>ce</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材料表面吸收的太阳辐射热与其所接收到的太阳辐射热的比值。</w:t>
      </w:r>
    </w:p>
    <w:p>
      <w:pPr>
        <w:spacing w:line="500" w:lineRule="exact"/>
        <w:ind w:left="41" w:right="3666"/>
        <w:rPr>
          <w:rFonts w:ascii="MingLiU" w:hAnsi="Calibri"/>
          <w:color w:val="000000"/>
          <w:sz w:val="20"/>
          <w:szCs w:val="22"/>
          <w:lang w:val="en-US" w:eastAsia="en-US" w:bidi="ar-SA"/>
        </w:rPr>
      </w:pP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13空调、采暖设备能效比（EER</w:t>
      </w:r>
      <w:r>
        <w:rPr>
          <w:rFonts w:ascii="MingLiU" w:hAnsi="Calibri"/>
          <w:color w:val="000000"/>
          <w:spacing w:val="-74"/>
          <w:sz w:val="20"/>
          <w:szCs w:val="22"/>
          <w:lang w:val="en-US" w:eastAsia="en-US" w:bidi="ar-SA"/>
        </w:rPr>
        <w:t xml:space="preserve"> </w:t>
      </w:r>
      <w:r>
        <w:rPr>
          <w:rFonts w:ascii="MingLiU" w:hAnsi="MingLiU" w:cs="MingLiU"/>
          <w:color w:val="000000"/>
          <w:spacing w:val="-10"/>
          <w:sz w:val="20"/>
          <w:szCs w:val="22"/>
          <w:lang w:val="en-US" w:eastAsia="en-US" w:bidi="ar-SA"/>
        </w:rPr>
        <w:t>）energy</w:t>
      </w:r>
      <w:r>
        <w:rPr>
          <w:rFonts w:ascii="MingLiU" w:hAnsi="Calibri"/>
          <w:color w:val="000000"/>
          <w:spacing w:val="-68"/>
          <w:sz w:val="20"/>
          <w:szCs w:val="22"/>
          <w:lang w:val="en-US" w:eastAsia="en-US" w:bidi="ar-SA"/>
        </w:rPr>
        <w:t xml:space="preserve"> </w:t>
      </w:r>
      <w:r>
        <w:rPr>
          <w:rFonts w:ascii="MingLiU" w:hAnsi="Calibri"/>
          <w:color w:val="000000"/>
          <w:spacing w:val="-21"/>
          <w:sz w:val="20"/>
          <w:szCs w:val="22"/>
          <w:lang w:val="en-US" w:eastAsia="en-US" w:bidi="ar-SA"/>
        </w:rPr>
        <w:t>eff</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7"/>
          <w:sz w:val="20"/>
          <w:szCs w:val="22"/>
          <w:lang w:val="en-US" w:eastAsia="en-US" w:bidi="ar-SA"/>
        </w:rPr>
        <w:t>ency</w:t>
      </w:r>
      <w:r>
        <w:rPr>
          <w:rFonts w:ascii="MingLiU" w:hAnsi="Calibri"/>
          <w:color w:val="000000"/>
          <w:spacing w:val="-68"/>
          <w:sz w:val="20"/>
          <w:szCs w:val="22"/>
          <w:lang w:val="en-US" w:eastAsia="en-US" w:bidi="ar-SA"/>
        </w:rPr>
        <w:t xml:space="preserve"> </w:t>
      </w:r>
      <w:r>
        <w:rPr>
          <w:rFonts w:ascii="MingLiU" w:hAnsi="Calibri"/>
          <w:color w:val="000000"/>
          <w:spacing w:val="-16"/>
          <w:sz w:val="20"/>
          <w:szCs w:val="22"/>
          <w:lang w:val="en-US" w:eastAsia="en-US" w:bidi="ar-SA"/>
        </w:rPr>
        <w:t>rat</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 xml:space="preserve">o </w:t>
      </w:r>
      <w:r>
        <w:rPr>
          <w:rFonts w:ascii="MingLiU" w:hAnsi="MingLiU" w:cs="MingLiU"/>
          <w:color w:val="000000"/>
          <w:sz w:val="20"/>
          <w:szCs w:val="22"/>
          <w:lang w:val="en-US" w:eastAsia="en-US" w:bidi="ar-SA"/>
        </w:rPr>
        <w:t>在额定工况下，空调、采暖设备提供的冷量或热量与设备本身所消耗的能量之比。</w:t>
      </w:r>
      <w:r>
        <w:rPr>
          <w:rFonts w:ascii="MingLiU" w:hAnsi="MingLiU" w:cs="MingLiU"/>
          <w:color w:val="000000"/>
          <w:sz w:val="20"/>
          <w:szCs w:val="22"/>
          <w:lang w:val="en-US" w:eastAsia="en-US" w:bidi="ar-SA"/>
        </w:rPr>
        <w:cr/>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14耗电输冷（热）比（EC</w:t>
      </w:r>
      <w:r>
        <w:rPr>
          <w:rFonts w:ascii="MingLiU" w:hAnsi="Calibri"/>
          <w:color w:val="000000"/>
          <w:spacing w:val="-61"/>
          <w:sz w:val="20"/>
          <w:szCs w:val="22"/>
          <w:lang w:val="en-US" w:eastAsia="en-US" w:bidi="ar-SA"/>
        </w:rPr>
        <w:t xml:space="preserve"> </w:t>
      </w:r>
      <w:r>
        <w:rPr>
          <w:rFonts w:ascii="MingLiU" w:hAnsi="Calibri"/>
          <w:color w:val="000000"/>
          <w:spacing w:val="-13"/>
          <w:sz w:val="20"/>
          <w:szCs w:val="22"/>
          <w:lang w:val="en-US" w:eastAsia="en-US" w:bidi="ar-SA"/>
        </w:rPr>
        <w:t>(H</w:t>
      </w:r>
      <w:r>
        <w:rPr>
          <w:rFonts w:ascii="MingLiU" w:hAnsi="Calibri"/>
          <w:color w:val="000000"/>
          <w:spacing w:val="-41"/>
          <w:sz w:val="20"/>
          <w:szCs w:val="22"/>
          <w:lang w:val="en-US" w:eastAsia="en-US" w:bidi="ar-SA"/>
        </w:rPr>
        <w:t xml:space="preserve"> </w:t>
      </w:r>
      <w:r>
        <w:rPr>
          <w:rFonts w:ascii="MingLiU" w:hAnsi="Calibri"/>
          <w:color w:val="000000"/>
          <w:spacing w:val="-13"/>
          <w:sz w:val="20"/>
          <w:szCs w:val="22"/>
          <w:lang w:val="en-US" w:eastAsia="en-US" w:bidi="ar-SA"/>
        </w:rPr>
        <w:t>)R</w:t>
      </w:r>
      <w:r>
        <w:rPr>
          <w:rFonts w:ascii="MingLiU" w:hAnsi="Calibri"/>
          <w:color w:val="000000"/>
          <w:spacing w:val="-74"/>
          <w:sz w:val="20"/>
          <w:szCs w:val="22"/>
          <w:lang w:val="en-US" w:eastAsia="en-US" w:bidi="ar-SA"/>
        </w:rPr>
        <w:t xml:space="preserve"> </w:t>
      </w:r>
      <w:r>
        <w:rPr>
          <w:rFonts w:ascii="MingLiU" w:hAnsi="MingLiU" w:cs="MingLiU"/>
          <w:color w:val="000000"/>
          <w:sz w:val="20"/>
          <w:szCs w:val="22"/>
          <w:lang w:val="en-US" w:eastAsia="en-US" w:bidi="ar-SA"/>
        </w:rPr>
        <w:t>）e</w:t>
      </w:r>
      <w:r>
        <w:rPr>
          <w:rFonts w:ascii="MingLiU" w:hAnsi="Calibri"/>
          <w:color w:val="000000"/>
          <w:spacing w:val="-54"/>
          <w:sz w:val="20"/>
          <w:szCs w:val="22"/>
          <w:lang w:val="en-US" w:eastAsia="en-US" w:bidi="ar-SA"/>
        </w:rPr>
        <w:t>l</w:t>
      </w:r>
      <w:r>
        <w:rPr>
          <w:rFonts w:ascii="MingLiU" w:hAnsi="Calibri"/>
          <w:color w:val="000000"/>
          <w:spacing w:val="-19"/>
          <w:sz w:val="20"/>
          <w:szCs w:val="22"/>
          <w:lang w:val="en-US" w:eastAsia="en-US" w:bidi="ar-SA"/>
        </w:rPr>
        <w:t>ectr</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22"/>
          <w:sz w:val="20"/>
          <w:szCs w:val="22"/>
          <w:lang w:val="en-US" w:eastAsia="en-US" w:bidi="ar-SA"/>
        </w:rPr>
        <w:t>ty</w:t>
      </w:r>
      <w:r>
        <w:rPr>
          <w:rFonts w:ascii="MingLiU" w:hAnsi="Calibri"/>
          <w:color w:val="000000"/>
          <w:spacing w:val="-68"/>
          <w:sz w:val="20"/>
          <w:szCs w:val="22"/>
          <w:lang w:val="en-US" w:eastAsia="en-US" w:bidi="ar-SA"/>
        </w:rPr>
        <w:t xml:space="preserve"> </w:t>
      </w:r>
      <w:r>
        <w:rPr>
          <w:rFonts w:ascii="MingLiU" w:hAnsi="Calibri"/>
          <w:color w:val="000000"/>
          <w:spacing w:val="-6"/>
          <w:sz w:val="20"/>
          <w:szCs w:val="22"/>
          <w:lang w:val="en-US" w:eastAsia="en-US" w:bidi="ar-SA"/>
        </w:rPr>
        <w:t>consum</w:t>
      </w:r>
      <w:r>
        <w:rPr>
          <w:rFonts w:ascii="MingLiU" w:hAnsi="Calibri"/>
          <w:color w:val="000000"/>
          <w:spacing w:val="-41"/>
          <w:sz w:val="20"/>
          <w:szCs w:val="22"/>
          <w:lang w:val="en-US" w:eastAsia="en-US" w:bidi="ar-SA"/>
        </w:rPr>
        <w:t xml:space="preserve"> </w:t>
      </w:r>
      <w:r>
        <w:rPr>
          <w:rFonts w:ascii="MingLiU" w:hAnsi="Calibri"/>
          <w:color w:val="000000"/>
          <w:spacing w:val="2"/>
          <w:sz w:val="20"/>
          <w:szCs w:val="22"/>
          <w:lang w:val="en-US" w:eastAsia="en-US" w:bidi="ar-SA"/>
        </w:rPr>
        <w:t>pt</w:t>
      </w:r>
      <w:r>
        <w:rPr>
          <w:rFonts w:ascii="MingLiU" w:hAnsi="Calibri"/>
          <w:color w:val="000000"/>
          <w:spacing w:val="-52"/>
          <w:sz w:val="20"/>
          <w:szCs w:val="22"/>
          <w:lang w:val="en-US" w:eastAsia="en-US" w:bidi="ar-SA"/>
        </w:rPr>
        <w:t>i</w:t>
      </w:r>
      <w:r>
        <w:rPr>
          <w:rFonts w:ascii="MingLiU" w:hAnsi="Calibri"/>
          <w:color w:val="000000"/>
          <w:spacing w:val="2"/>
          <w:sz w:val="20"/>
          <w:szCs w:val="22"/>
          <w:lang w:val="en-US" w:eastAsia="en-US" w:bidi="ar-SA"/>
        </w:rPr>
        <w:t>on</w:t>
      </w:r>
      <w:r>
        <w:rPr>
          <w:rFonts w:ascii="MingLiU" w:hAnsi="Calibri"/>
          <w:color w:val="000000"/>
          <w:spacing w:val="-53"/>
          <w:sz w:val="20"/>
          <w:szCs w:val="22"/>
          <w:lang w:val="en-US" w:eastAsia="en-US" w:bidi="ar-SA"/>
        </w:rPr>
        <w:t xml:space="preserve"> </w:t>
      </w:r>
      <w:r>
        <w:rPr>
          <w:rFonts w:ascii="MingLiU" w:hAnsi="Calibri"/>
          <w:color w:val="000000"/>
          <w:spacing w:val="-22"/>
          <w:sz w:val="20"/>
          <w:szCs w:val="22"/>
          <w:lang w:val="en-US" w:eastAsia="en-US" w:bidi="ar-SA"/>
        </w:rPr>
        <w:t>to</w:t>
      </w:r>
      <w:r>
        <w:rPr>
          <w:rFonts w:ascii="MingLiU" w:hAnsi="Calibri"/>
          <w:color w:val="000000"/>
          <w:spacing w:val="-54"/>
          <w:sz w:val="20"/>
          <w:szCs w:val="22"/>
          <w:lang w:val="en-US" w:eastAsia="en-US" w:bidi="ar-SA"/>
        </w:rPr>
        <w:t xml:space="preserve"> </w:t>
      </w:r>
      <w:r>
        <w:rPr>
          <w:rFonts w:ascii="MingLiU" w:hAnsi="Calibri"/>
          <w:color w:val="000000"/>
          <w:spacing w:val="-24"/>
          <w:sz w:val="20"/>
          <w:szCs w:val="22"/>
          <w:lang w:val="en-US" w:eastAsia="en-US" w:bidi="ar-SA"/>
        </w:rPr>
        <w:t>transferred</w:t>
      </w:r>
      <w:r>
        <w:rPr>
          <w:rFonts w:ascii="MingLiU" w:hAnsi="Calibri"/>
          <w:color w:val="000000"/>
          <w:spacing w:val="-53"/>
          <w:sz w:val="20"/>
          <w:szCs w:val="22"/>
          <w:lang w:val="en-US" w:eastAsia="en-US" w:bidi="ar-SA"/>
        </w:rPr>
        <w:t xml:space="preserve"> </w:t>
      </w:r>
      <w:r>
        <w:rPr>
          <w:rFonts w:ascii="MingLiU" w:hAnsi="Calibri"/>
          <w:color w:val="000000"/>
          <w:spacing w:val="-3"/>
          <w:sz w:val="20"/>
          <w:szCs w:val="22"/>
          <w:lang w:val="en-US" w:eastAsia="en-US" w:bidi="ar-SA"/>
        </w:rPr>
        <w:t>coo</w:t>
      </w:r>
      <w:r>
        <w:rPr>
          <w:rFonts w:ascii="MingLiU" w:hAnsi="Calibri"/>
          <w:color w:val="000000"/>
          <w:spacing w:val="-54"/>
          <w:sz w:val="20"/>
          <w:szCs w:val="22"/>
          <w:lang w:val="en-US" w:eastAsia="en-US" w:bidi="ar-SA"/>
        </w:rPr>
        <w:t>l</w:t>
      </w:r>
      <w:r>
        <w:rPr>
          <w:rFonts w:ascii="MingLiU" w:hAnsi="Calibri"/>
          <w:color w:val="000000"/>
          <w:spacing w:val="-26"/>
          <w:sz w:val="20"/>
          <w:szCs w:val="22"/>
          <w:lang w:val="en-US" w:eastAsia="en-US" w:bidi="ar-SA"/>
        </w:rPr>
        <w:t>in</w:t>
      </w:r>
      <w:r>
        <w:rPr>
          <w:rFonts w:ascii="MingLiU" w:hAnsi="Calibri"/>
          <w:color w:val="000000"/>
          <w:spacing w:val="-95"/>
          <w:sz w:val="20"/>
          <w:szCs w:val="22"/>
          <w:lang w:val="en-US" w:eastAsia="en-US" w:bidi="ar-SA"/>
        </w:rPr>
        <w:t xml:space="preserve"> </w:t>
      </w:r>
      <w:r>
        <w:rPr>
          <w:rFonts w:ascii="MingLiU" w:hAnsi="Calibri"/>
          <w:color w:val="000000"/>
          <w:spacing w:val="-12"/>
          <w:sz w:val="20"/>
          <w:szCs w:val="22"/>
          <w:lang w:val="en-US" w:eastAsia="en-US" w:bidi="ar-SA"/>
        </w:rPr>
        <w:t>g(h</w:t>
      </w:r>
      <w:r>
        <w:rPr>
          <w:rFonts w:ascii="MingLiU" w:hAnsi="Calibri"/>
          <w:color w:val="000000"/>
          <w:spacing w:val="-96"/>
          <w:sz w:val="20"/>
          <w:szCs w:val="22"/>
          <w:lang w:val="en-US" w:eastAsia="en-US" w:bidi="ar-SA"/>
        </w:rPr>
        <w:t xml:space="preserve"> </w:t>
      </w:r>
      <w:r>
        <w:rPr>
          <w:rFonts w:ascii="MingLiU" w:hAnsi="Calibri"/>
          <w:color w:val="000000"/>
          <w:spacing w:val="-14"/>
          <w:sz w:val="20"/>
          <w:szCs w:val="22"/>
          <w:lang w:val="en-US" w:eastAsia="en-US" w:bidi="ar-SA"/>
        </w:rPr>
        <w:t>eat)quan</w:t>
      </w:r>
      <w:r>
        <w:rPr>
          <w:rFonts w:ascii="MingLiU" w:hAnsi="Calibri"/>
          <w:color w:val="000000"/>
          <w:spacing w:val="-95"/>
          <w:sz w:val="20"/>
          <w:szCs w:val="22"/>
          <w:lang w:val="en-US" w:eastAsia="en-US" w:bidi="ar-SA"/>
        </w:rPr>
        <w:t xml:space="preserve"> </w:t>
      </w:r>
      <w:r>
        <w:rPr>
          <w:rFonts w:ascii="MingLiU" w:hAnsi="Calibri"/>
          <w:color w:val="000000"/>
          <w:sz w:val="20"/>
          <w:szCs w:val="22"/>
          <w:lang w:val="en-US" w:eastAsia="en-US" w:bidi="ar-SA"/>
        </w:rPr>
        <w:t>t</w:t>
      </w:r>
      <w:r>
        <w:rPr>
          <w:rFonts w:ascii="MingLiU" w:hAnsi="Calibri"/>
          <w:color w:val="000000"/>
          <w:spacing w:val="-52"/>
          <w:sz w:val="20"/>
          <w:szCs w:val="22"/>
          <w:lang w:val="en-US" w:eastAsia="en-US" w:bidi="ar-SA"/>
        </w:rPr>
        <w:t>i</w:t>
      </w:r>
      <w:r>
        <w:rPr>
          <w:rFonts w:ascii="MingLiU" w:hAnsi="Calibri"/>
          <w:color w:val="000000"/>
          <w:spacing w:val="-22"/>
          <w:sz w:val="20"/>
          <w:szCs w:val="22"/>
          <w:lang w:val="en-US" w:eastAsia="en-US" w:bidi="ar-SA"/>
        </w:rPr>
        <w:t>ty</w:t>
      </w:r>
      <w:r>
        <w:rPr>
          <w:rFonts w:ascii="MingLiU" w:hAnsi="Calibri"/>
          <w:color w:val="000000"/>
          <w:spacing w:val="-68"/>
          <w:sz w:val="20"/>
          <w:szCs w:val="22"/>
          <w:lang w:val="en-US" w:eastAsia="en-US" w:bidi="ar-SA"/>
        </w:rPr>
        <w:t xml:space="preserve"> </w:t>
      </w:r>
      <w:r>
        <w:rPr>
          <w:rFonts w:ascii="MingLiU" w:hAnsi="Calibri"/>
          <w:color w:val="000000"/>
          <w:spacing w:val="-16"/>
          <w:sz w:val="20"/>
          <w:szCs w:val="22"/>
          <w:lang w:val="en-US" w:eastAsia="en-US" w:bidi="ar-SA"/>
        </w:rPr>
        <w:t>rat</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o</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设计工况下，空调冷热水系统循环水泵总功耗（kW</w:t>
      </w:r>
      <w:r>
        <w:rPr>
          <w:rFonts w:ascii="MingLiU" w:hAnsi="Calibri"/>
          <w:color w:val="000000"/>
          <w:spacing w:val="-6"/>
          <w:sz w:val="20"/>
          <w:szCs w:val="22"/>
          <w:lang w:val="en-US" w:eastAsia="en-US" w:bidi="ar-SA"/>
        </w:rPr>
        <w:t xml:space="preserve"> </w:t>
      </w:r>
      <w:r>
        <w:rPr>
          <w:rFonts w:ascii="MingLiU" w:hAnsi="MingLiU" w:cs="MingLiU"/>
          <w:color w:val="000000"/>
          <w:sz w:val="20"/>
          <w:szCs w:val="22"/>
          <w:lang w:val="en-US" w:eastAsia="en-US" w:bidi="ar-SA"/>
        </w:rPr>
        <w:t>）与设计冷（热）负荷（kW</w:t>
      </w:r>
      <w:r>
        <w:rPr>
          <w:rFonts w:ascii="MingLiU" w:hAnsi="Calibri"/>
          <w:color w:val="000000"/>
          <w:spacing w:val="-6"/>
          <w:sz w:val="20"/>
          <w:szCs w:val="22"/>
          <w:lang w:val="en-US" w:eastAsia="en-US" w:bidi="ar-SA"/>
        </w:rPr>
        <w:t xml:space="preserve"> </w:t>
      </w:r>
      <w:r>
        <w:rPr>
          <w:rFonts w:ascii="MingLiU" w:hAnsi="MingLiU" w:cs="MingLiU"/>
          <w:color w:val="000000"/>
          <w:sz w:val="20"/>
          <w:szCs w:val="22"/>
          <w:lang w:val="en-US" w:eastAsia="en-US" w:bidi="ar-SA"/>
        </w:rPr>
        <w:t>）的比值。</w:t>
      </w:r>
      <w:r>
        <w:rPr>
          <w:rFonts w:ascii="MingLiU" w:hAnsi="MingLiU" w:cs="MingLiU"/>
          <w:color w:val="000000"/>
          <w:sz w:val="20"/>
          <w:szCs w:val="22"/>
          <w:lang w:val="en-US" w:eastAsia="en-US" w:bidi="ar-SA"/>
        </w:rPr>
        <w:cr/>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15耗电输热比（EH</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R</w:t>
      </w:r>
      <w:r>
        <w:rPr>
          <w:rFonts w:ascii="MingLiU" w:hAnsi="Calibri"/>
          <w:color w:val="000000"/>
          <w:spacing w:val="-74"/>
          <w:sz w:val="20"/>
          <w:szCs w:val="22"/>
          <w:lang w:val="en-US" w:eastAsia="en-US" w:bidi="ar-SA"/>
        </w:rPr>
        <w:t xml:space="preserve"> </w:t>
      </w:r>
      <w:r>
        <w:rPr>
          <w:rFonts w:ascii="MingLiU" w:hAnsi="MingLiU" w:cs="MingLiU"/>
          <w:color w:val="000000"/>
          <w:sz w:val="20"/>
          <w:szCs w:val="22"/>
          <w:lang w:val="en-US" w:eastAsia="en-US" w:bidi="ar-SA"/>
        </w:rPr>
        <w:t>）e</w:t>
      </w:r>
      <w:r>
        <w:rPr>
          <w:rFonts w:ascii="MingLiU" w:hAnsi="Calibri"/>
          <w:color w:val="000000"/>
          <w:spacing w:val="-54"/>
          <w:sz w:val="20"/>
          <w:szCs w:val="22"/>
          <w:lang w:val="en-US" w:eastAsia="en-US" w:bidi="ar-SA"/>
        </w:rPr>
        <w:t>l</w:t>
      </w:r>
      <w:r>
        <w:rPr>
          <w:rFonts w:ascii="MingLiU" w:hAnsi="Calibri"/>
          <w:color w:val="000000"/>
          <w:spacing w:val="-19"/>
          <w:sz w:val="20"/>
          <w:szCs w:val="22"/>
          <w:lang w:val="en-US" w:eastAsia="en-US" w:bidi="ar-SA"/>
        </w:rPr>
        <w:t>ectr</w:t>
      </w:r>
      <w:r>
        <w:rPr>
          <w:rFonts w:ascii="MingLiU" w:hAnsi="Calibri"/>
          <w:color w:val="000000"/>
          <w:spacing w:val="-52"/>
          <w:sz w:val="20"/>
          <w:szCs w:val="22"/>
          <w:lang w:val="en-US" w:eastAsia="en-US" w:bidi="ar-SA"/>
        </w:rPr>
        <w:t>i</w:t>
      </w:r>
      <w:r>
        <w:rPr>
          <w:rFonts w:ascii="MingLiU" w:hAnsi="Calibri"/>
          <w:color w:val="000000"/>
          <w:sz w:val="20"/>
          <w:szCs w:val="22"/>
          <w:lang w:val="en-US" w:eastAsia="en-US" w:bidi="ar-SA"/>
        </w:rPr>
        <w:t>c</w:t>
      </w:r>
      <w:r>
        <w:rPr>
          <w:rFonts w:ascii="MingLiU" w:hAnsi="Calibri"/>
          <w:color w:val="000000"/>
          <w:spacing w:val="-52"/>
          <w:sz w:val="20"/>
          <w:szCs w:val="22"/>
          <w:lang w:val="en-US" w:eastAsia="en-US" w:bidi="ar-SA"/>
        </w:rPr>
        <w:t>i</w:t>
      </w:r>
      <w:r>
        <w:rPr>
          <w:rFonts w:ascii="MingLiU" w:hAnsi="Calibri"/>
          <w:color w:val="000000"/>
          <w:spacing w:val="-22"/>
          <w:sz w:val="20"/>
          <w:szCs w:val="22"/>
          <w:lang w:val="en-US" w:eastAsia="en-US" w:bidi="ar-SA"/>
        </w:rPr>
        <w:t>ty</w:t>
      </w:r>
      <w:r>
        <w:rPr>
          <w:rFonts w:ascii="MingLiU" w:hAnsi="Calibri"/>
          <w:color w:val="000000"/>
          <w:spacing w:val="-68"/>
          <w:sz w:val="20"/>
          <w:szCs w:val="22"/>
          <w:lang w:val="en-US" w:eastAsia="en-US" w:bidi="ar-SA"/>
        </w:rPr>
        <w:t xml:space="preserve"> </w:t>
      </w:r>
      <w:r>
        <w:rPr>
          <w:rFonts w:ascii="MingLiU" w:hAnsi="Calibri"/>
          <w:color w:val="000000"/>
          <w:spacing w:val="-6"/>
          <w:sz w:val="20"/>
          <w:szCs w:val="22"/>
          <w:lang w:val="en-US" w:eastAsia="en-US" w:bidi="ar-SA"/>
        </w:rPr>
        <w:t>consum</w:t>
      </w:r>
      <w:r>
        <w:rPr>
          <w:rFonts w:ascii="MingLiU" w:hAnsi="Calibri"/>
          <w:color w:val="000000"/>
          <w:spacing w:val="-41"/>
          <w:sz w:val="20"/>
          <w:szCs w:val="22"/>
          <w:lang w:val="en-US" w:eastAsia="en-US" w:bidi="ar-SA"/>
        </w:rPr>
        <w:t xml:space="preserve"> </w:t>
      </w:r>
      <w:r>
        <w:rPr>
          <w:rFonts w:ascii="MingLiU" w:hAnsi="Calibri"/>
          <w:color w:val="000000"/>
          <w:spacing w:val="2"/>
          <w:sz w:val="20"/>
          <w:szCs w:val="22"/>
          <w:lang w:val="en-US" w:eastAsia="en-US" w:bidi="ar-SA"/>
        </w:rPr>
        <w:t>pt</w:t>
      </w:r>
      <w:r>
        <w:rPr>
          <w:rFonts w:ascii="MingLiU" w:hAnsi="Calibri"/>
          <w:color w:val="000000"/>
          <w:spacing w:val="-52"/>
          <w:sz w:val="20"/>
          <w:szCs w:val="22"/>
          <w:lang w:val="en-US" w:eastAsia="en-US" w:bidi="ar-SA"/>
        </w:rPr>
        <w:t>i</w:t>
      </w:r>
      <w:r>
        <w:rPr>
          <w:rFonts w:ascii="MingLiU" w:hAnsi="Calibri"/>
          <w:color w:val="000000"/>
          <w:spacing w:val="2"/>
          <w:sz w:val="20"/>
          <w:szCs w:val="22"/>
          <w:lang w:val="en-US" w:eastAsia="en-US" w:bidi="ar-SA"/>
        </w:rPr>
        <w:t>on</w:t>
      </w:r>
      <w:r>
        <w:rPr>
          <w:rFonts w:ascii="MingLiU" w:hAnsi="Calibri"/>
          <w:color w:val="000000"/>
          <w:spacing w:val="-53"/>
          <w:sz w:val="20"/>
          <w:szCs w:val="22"/>
          <w:lang w:val="en-US" w:eastAsia="en-US" w:bidi="ar-SA"/>
        </w:rPr>
        <w:t xml:space="preserve"> </w:t>
      </w:r>
      <w:r>
        <w:rPr>
          <w:rFonts w:ascii="MingLiU" w:hAnsi="Calibri"/>
          <w:color w:val="000000"/>
          <w:spacing w:val="-22"/>
          <w:sz w:val="20"/>
          <w:szCs w:val="22"/>
          <w:lang w:val="en-US" w:eastAsia="en-US" w:bidi="ar-SA"/>
        </w:rPr>
        <w:t>to</w:t>
      </w:r>
      <w:r>
        <w:rPr>
          <w:rFonts w:ascii="MingLiU" w:hAnsi="Calibri"/>
          <w:color w:val="000000"/>
          <w:spacing w:val="-54"/>
          <w:sz w:val="20"/>
          <w:szCs w:val="22"/>
          <w:lang w:val="en-US" w:eastAsia="en-US" w:bidi="ar-SA"/>
        </w:rPr>
        <w:t xml:space="preserve"> </w:t>
      </w:r>
      <w:r>
        <w:rPr>
          <w:rFonts w:ascii="MingLiU" w:hAnsi="Calibri"/>
          <w:color w:val="000000"/>
          <w:spacing w:val="-24"/>
          <w:sz w:val="20"/>
          <w:szCs w:val="22"/>
          <w:lang w:val="en-US" w:eastAsia="en-US" w:bidi="ar-SA"/>
        </w:rPr>
        <w:t>transferred</w:t>
      </w:r>
      <w:r>
        <w:rPr>
          <w:rFonts w:ascii="MingLiU" w:hAnsi="Calibri"/>
          <w:color w:val="000000"/>
          <w:spacing w:val="-53"/>
          <w:sz w:val="20"/>
          <w:szCs w:val="22"/>
          <w:lang w:val="en-US" w:eastAsia="en-US" w:bidi="ar-SA"/>
        </w:rPr>
        <w:t xml:space="preserve"> </w:t>
      </w:r>
      <w:r>
        <w:rPr>
          <w:rFonts w:ascii="MingLiU" w:hAnsi="Calibri"/>
          <w:color w:val="000000"/>
          <w:spacing w:val="-4"/>
          <w:sz w:val="20"/>
          <w:szCs w:val="22"/>
          <w:lang w:val="en-US" w:eastAsia="en-US" w:bidi="ar-SA"/>
        </w:rPr>
        <w:t>heatquant</w:t>
      </w:r>
      <w:r>
        <w:rPr>
          <w:rFonts w:ascii="MingLiU" w:hAnsi="Calibri"/>
          <w:color w:val="000000"/>
          <w:spacing w:val="-52"/>
          <w:sz w:val="20"/>
          <w:szCs w:val="22"/>
          <w:lang w:val="en-US" w:eastAsia="en-US" w:bidi="ar-SA"/>
        </w:rPr>
        <w:t>i</w:t>
      </w:r>
      <w:r>
        <w:rPr>
          <w:rFonts w:ascii="MingLiU" w:hAnsi="Calibri"/>
          <w:color w:val="000000"/>
          <w:spacing w:val="-22"/>
          <w:sz w:val="20"/>
          <w:szCs w:val="22"/>
          <w:lang w:val="en-US" w:eastAsia="en-US" w:bidi="ar-SA"/>
        </w:rPr>
        <w:t>ty</w:t>
      </w:r>
      <w:r>
        <w:rPr>
          <w:rFonts w:ascii="MingLiU" w:hAnsi="Calibri"/>
          <w:color w:val="000000"/>
          <w:spacing w:val="-68"/>
          <w:sz w:val="20"/>
          <w:szCs w:val="22"/>
          <w:lang w:val="en-US" w:eastAsia="en-US" w:bidi="ar-SA"/>
        </w:rPr>
        <w:t xml:space="preserve"> </w:t>
      </w:r>
      <w:r>
        <w:rPr>
          <w:rFonts w:ascii="MingLiU" w:hAnsi="Calibri"/>
          <w:color w:val="000000"/>
          <w:spacing w:val="-16"/>
          <w:sz w:val="20"/>
          <w:szCs w:val="22"/>
          <w:lang w:val="en-US" w:eastAsia="en-US" w:bidi="ar-SA"/>
        </w:rPr>
        <w:t>rat</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o</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设计工况下，集中供暖系统循环水泵总功耗（kW</w:t>
      </w:r>
      <w:r>
        <w:rPr>
          <w:rFonts w:ascii="MingLiU" w:hAnsi="Calibri"/>
          <w:color w:val="000000"/>
          <w:spacing w:val="-6"/>
          <w:sz w:val="20"/>
          <w:szCs w:val="22"/>
          <w:lang w:val="en-US" w:eastAsia="en-US" w:bidi="ar-SA"/>
        </w:rPr>
        <w:t xml:space="preserve"> </w:t>
      </w:r>
      <w:r>
        <w:rPr>
          <w:rFonts w:ascii="MingLiU" w:hAnsi="MingLiU" w:cs="MingLiU"/>
          <w:color w:val="000000"/>
          <w:sz w:val="20"/>
          <w:szCs w:val="22"/>
          <w:lang w:val="en-US" w:eastAsia="en-US" w:bidi="ar-SA"/>
        </w:rPr>
        <w:t>）与设计热负荷（kW</w:t>
      </w:r>
      <w:r>
        <w:rPr>
          <w:rFonts w:ascii="MingLiU" w:hAnsi="Calibri"/>
          <w:color w:val="000000"/>
          <w:spacing w:val="-5"/>
          <w:sz w:val="20"/>
          <w:szCs w:val="22"/>
          <w:lang w:val="en-US" w:eastAsia="en-US" w:bidi="ar-SA"/>
        </w:rPr>
        <w:t xml:space="preserve"> </w:t>
      </w:r>
      <w:r>
        <w:rPr>
          <w:rFonts w:ascii="MingLiU" w:hAnsi="MingLiU" w:cs="MingLiU"/>
          <w:color w:val="000000"/>
          <w:sz w:val="20"/>
          <w:szCs w:val="22"/>
          <w:lang w:val="en-US" w:eastAsia="en-US" w:bidi="ar-SA"/>
        </w:rPr>
        <w:t>）的比值。</w:t>
      </w:r>
      <w:r>
        <w:rPr>
          <w:rFonts w:ascii="MingLiU" w:hAnsi="MingLiU" w:cs="MingLiU"/>
          <w:color w:val="000000"/>
          <w:sz w:val="20"/>
          <w:szCs w:val="22"/>
          <w:lang w:val="en-US" w:eastAsia="en-US" w:bidi="ar-SA"/>
        </w:rPr>
        <w:cr/>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5"/>
          <w:sz w:val="20"/>
          <w:szCs w:val="22"/>
          <w:lang w:val="en-US" w:eastAsia="en-US" w:bidi="ar-SA"/>
        </w:rPr>
        <w:t>16太阳能热水系统so</w:t>
      </w:r>
      <w:r>
        <w:rPr>
          <w:rFonts w:ascii="MingLiU" w:hAnsi="Calibri"/>
          <w:color w:val="000000"/>
          <w:spacing w:val="-54"/>
          <w:sz w:val="20"/>
          <w:szCs w:val="22"/>
          <w:lang w:val="en-US" w:eastAsia="en-US" w:bidi="ar-SA"/>
        </w:rPr>
        <w:t>l</w:t>
      </w:r>
      <w:r>
        <w:rPr>
          <w:rFonts w:ascii="MingLiU" w:hAnsi="Calibri"/>
          <w:color w:val="000000"/>
          <w:spacing w:val="-3"/>
          <w:sz w:val="20"/>
          <w:szCs w:val="22"/>
          <w:lang w:val="en-US" w:eastAsia="en-US" w:bidi="ar-SA"/>
        </w:rPr>
        <w:t>arw</w:t>
      </w:r>
      <w:r>
        <w:rPr>
          <w:rFonts w:ascii="MingLiU" w:hAnsi="Calibri"/>
          <w:color w:val="000000"/>
          <w:spacing w:val="-70"/>
          <w:sz w:val="20"/>
          <w:szCs w:val="22"/>
          <w:lang w:val="en-US" w:eastAsia="en-US" w:bidi="ar-SA"/>
        </w:rPr>
        <w:t xml:space="preserve"> </w:t>
      </w:r>
      <w:r>
        <w:rPr>
          <w:rFonts w:ascii="MingLiU" w:hAnsi="Calibri"/>
          <w:color w:val="000000"/>
          <w:spacing w:val="-12"/>
          <w:sz w:val="20"/>
          <w:szCs w:val="22"/>
          <w:lang w:val="en-US" w:eastAsia="en-US" w:bidi="ar-SA"/>
        </w:rPr>
        <w:t>aterheat</w:t>
      </w:r>
      <w:r>
        <w:rPr>
          <w:rFonts w:ascii="MingLiU" w:hAnsi="Calibri"/>
          <w:color w:val="000000"/>
          <w:spacing w:val="-52"/>
          <w:sz w:val="20"/>
          <w:szCs w:val="22"/>
          <w:lang w:val="en-US" w:eastAsia="en-US" w:bidi="ar-SA"/>
        </w:rPr>
        <w:t>i</w:t>
      </w:r>
      <w:r>
        <w:rPr>
          <w:rFonts w:ascii="MingLiU" w:hAnsi="Calibri"/>
          <w:color w:val="000000"/>
          <w:spacing w:val="3"/>
          <w:sz w:val="20"/>
          <w:szCs w:val="22"/>
          <w:lang w:val="en-US" w:eastAsia="en-US" w:bidi="ar-SA"/>
        </w:rPr>
        <w:t>ng</w:t>
      </w:r>
      <w:r>
        <w:rPr>
          <w:rFonts w:ascii="MingLiU" w:hAnsi="Calibri"/>
          <w:color w:val="000000"/>
          <w:spacing w:val="-70"/>
          <w:sz w:val="20"/>
          <w:szCs w:val="22"/>
          <w:lang w:val="en-US" w:eastAsia="en-US" w:bidi="ar-SA"/>
        </w:rPr>
        <w:t xml:space="preserve"> </w:t>
      </w:r>
      <w:r>
        <w:rPr>
          <w:rFonts w:ascii="MingLiU" w:hAnsi="Calibri"/>
          <w:color w:val="000000"/>
          <w:spacing w:val="-23"/>
          <w:sz w:val="20"/>
          <w:szCs w:val="22"/>
          <w:lang w:val="en-US" w:eastAsia="en-US" w:bidi="ar-SA"/>
        </w:rPr>
        <w:t>system</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将太阳能转换成热能以加热水的系统装置。包括太阳能集热器、贮水箱、泵、连接管道、支架、控制系统和必要时</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配合使用的辅助能源。</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3室内热环境设计计算指标</w:t>
      </w:r>
    </w:p>
    <w:p>
      <w:pPr>
        <w:spacing w:line="500" w:lineRule="exact"/>
        <w:ind w:left="41" w:right="6789"/>
        <w:rPr>
          <w:rFonts w:ascii="MingLiU" w:hAnsi="Calibri"/>
          <w:color w:val="000000"/>
          <w:sz w:val="20"/>
          <w:szCs w:val="22"/>
          <w:lang w:val="en-US" w:eastAsia="en-US" w:bidi="ar-SA"/>
        </w:rPr>
      </w:pP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1冬季室内热环境设计计算指标： 1卧室、起居室等居室室内设计温度应取18℃；</w:t>
      </w:r>
      <w:r>
        <w:rPr>
          <w:rFonts w:ascii="MingLiU" w:hAnsi="MingLiU" w:cs="MingLiU"/>
          <w:color w:val="000000"/>
          <w:spacing w:val="-1"/>
          <w:sz w:val="20"/>
          <w:szCs w:val="22"/>
          <w:lang w:val="en-US" w:eastAsia="en-US" w:bidi="ar-SA"/>
        </w:rPr>
        <w:cr/>
      </w:r>
      <w:r>
        <w:rPr>
          <w:rFonts w:ascii="MingLiU" w:hAnsi="MingLiU" w:cs="MingLiU"/>
          <w:color w:val="000000"/>
          <w:spacing w:val="-1"/>
          <w:sz w:val="20"/>
          <w:szCs w:val="22"/>
          <w:lang w:val="en-US" w:eastAsia="en-US" w:bidi="ar-SA"/>
        </w:rPr>
        <w:t>2换气次数应取1</w:t>
      </w:r>
      <w:r>
        <w:rPr>
          <w:rFonts w:ascii="MingLiU" w:hAnsi="Calibri"/>
          <w:color w:val="000000"/>
          <w:spacing w:val="-52"/>
          <w:sz w:val="20"/>
          <w:szCs w:val="22"/>
          <w:lang w:val="en-US" w:eastAsia="en-US" w:bidi="ar-SA"/>
        </w:rPr>
        <w:t>.</w:t>
      </w:r>
      <w:r>
        <w:rPr>
          <w:rFonts w:ascii="MingLiU" w:hAnsi="MingLiU" w:cs="MingLiU"/>
          <w:color w:val="000000"/>
          <w:spacing w:val="-7"/>
          <w:sz w:val="20"/>
          <w:szCs w:val="22"/>
          <w:lang w:val="en-US" w:eastAsia="en-US" w:bidi="ar-SA"/>
        </w:rPr>
        <w:t>0次/h。</w:t>
      </w:r>
    </w:p>
    <w:p>
      <w:pPr>
        <w:spacing w:line="500" w:lineRule="exact"/>
        <w:ind w:left="41" w:right="6789"/>
        <w:rPr>
          <w:rFonts w:ascii="MingLiU" w:hAnsi="Calibri"/>
          <w:color w:val="000000"/>
          <w:sz w:val="20"/>
          <w:szCs w:val="22"/>
          <w:lang w:val="en-US" w:eastAsia="en-US" w:bidi="ar-SA"/>
        </w:rPr>
      </w:pP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2夏季室内热环境设计计算指标： 1卧室、起居室等居室室内设计温度应取26℃；</w:t>
      </w:r>
      <w:r>
        <w:rPr>
          <w:rFonts w:ascii="MingLiU" w:hAnsi="MingLiU" w:cs="MingLiU"/>
          <w:color w:val="000000"/>
          <w:spacing w:val="-1"/>
          <w:sz w:val="20"/>
          <w:szCs w:val="22"/>
          <w:lang w:val="en-US" w:eastAsia="en-US" w:bidi="ar-SA"/>
        </w:rPr>
        <w:cr/>
      </w:r>
      <w:r>
        <w:rPr>
          <w:rFonts w:ascii="MingLiU" w:hAnsi="MingLiU" w:cs="MingLiU"/>
          <w:color w:val="000000"/>
          <w:spacing w:val="-1"/>
          <w:sz w:val="20"/>
          <w:szCs w:val="22"/>
          <w:lang w:val="en-US" w:eastAsia="en-US" w:bidi="ar-SA"/>
        </w:rPr>
        <w:t>2换气次数应取1</w:t>
      </w:r>
      <w:r>
        <w:rPr>
          <w:rFonts w:ascii="MingLiU" w:hAnsi="Calibri"/>
          <w:color w:val="000000"/>
          <w:spacing w:val="-52"/>
          <w:sz w:val="20"/>
          <w:szCs w:val="22"/>
          <w:lang w:val="en-US" w:eastAsia="en-US" w:bidi="ar-SA"/>
        </w:rPr>
        <w:t>.</w:t>
      </w:r>
      <w:r>
        <w:rPr>
          <w:rFonts w:ascii="MingLiU" w:hAnsi="MingLiU" w:cs="MingLiU"/>
          <w:color w:val="000000"/>
          <w:spacing w:val="-7"/>
          <w:sz w:val="20"/>
          <w:szCs w:val="22"/>
          <w:lang w:val="en-US" w:eastAsia="en-US" w:bidi="ar-SA"/>
        </w:rPr>
        <w:t>0次/h。</w:t>
      </w:r>
    </w:p>
    <w:p>
      <w:pPr>
        <w:spacing w:line="50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3采暖空调系统能效比：夏季降温时应取3</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0，冬季采暖时应取2</w:t>
      </w:r>
      <w:r>
        <w:rPr>
          <w:rFonts w:ascii="MingLiU" w:hAnsi="Calibri"/>
          <w:color w:val="000000"/>
          <w:spacing w:val="-52"/>
          <w:sz w:val="20"/>
          <w:szCs w:val="22"/>
          <w:lang w:val="en-US" w:eastAsia="en-US" w:bidi="ar-SA"/>
        </w:rPr>
        <w:t>.</w:t>
      </w:r>
      <w:r>
        <w:rPr>
          <w:rFonts w:ascii="MingLiU" w:hAnsi="MingLiU" w:cs="MingLiU"/>
          <w:color w:val="000000"/>
          <w:spacing w:val="-8"/>
          <w:sz w:val="20"/>
          <w:szCs w:val="22"/>
          <w:lang w:val="en-US" w:eastAsia="en-US" w:bidi="ar-SA"/>
        </w:rPr>
        <w:t>1。</w:t>
      </w:r>
      <w:r>
        <w:rPr>
          <w:rFonts w:ascii="MingLiU" w:hAnsi="MingLiU" w:cs="MingLiU"/>
          <w:color w:val="000000"/>
          <w:spacing w:val="-8"/>
          <w:sz w:val="20"/>
          <w:szCs w:val="22"/>
          <w:lang w:val="en-US" w:eastAsia="en-US" w:bidi="ar-SA"/>
        </w:rPr>
        <w:cr/>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4湖北省主要城市气候分区区属划分成为表3</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4所示的两个子气候区。</w:t>
      </w:r>
    </w:p>
    <w:p>
      <w:pPr>
        <w:spacing w:before="2287"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2/13</w:t>
      </w:r>
    </w:p>
    <w:p>
      <w:pPr>
        <w:spacing w:line="258" w:lineRule="exact"/>
        <w:ind w:right="1276"/>
        <w:jc w:val="center"/>
        <w:rPr>
          <w:rFonts w:ascii="MingLiU" w:hAnsi="MingLiU" w:cs="MingLiU"/>
          <w:color w:val="000000"/>
          <w:spacing w:val="-7"/>
          <w:sz w:val="22"/>
          <w:szCs w:val="22"/>
          <w:lang w:val="en-US" w:eastAsia="en-US" w:bidi="ar-SA"/>
        </w:rPr>
      </w:pPr>
      <w:r>
        <w:pict>
          <v:shape id="_x0000_s1032" o:spid="_x0000_s1032" o:spt="75" type="#_x0000_t75" style="position:absolute;left:0pt;margin-left:41.5pt;margin-top:53.85pt;height:3pt;width:512.25pt;mso-position-horizontal-relative:page;mso-position-vertical-relative:page;z-index:-251618304;mso-width-relative:page;mso-height-relative:page;" filled="f" o:preferrelative="t" stroked="f" coordsize="21600,21600">
            <v:path/>
            <v:fill on="f" focussize="0,0"/>
            <v:stroke on="f" joinstyle="miter"/>
            <v:imagedata r:id="rId6" o:title=""/>
            <o:lock v:ext="edit" aspectratio="t"/>
          </v:shape>
        </w:pict>
      </w:r>
      <w:r>
        <w:pict>
          <v:shape id="_x0000_s1033" o:spid="_x0000_s1033" o:spt="75" type="#_x0000_t75" style="position:absolute;left:0pt;margin-left:41.5pt;margin-top:74.65pt;height:69.2pt;width:403.6pt;mso-position-horizontal-relative:page;mso-position-vertical-relative:page;z-index:-251629568;mso-width-relative:page;mso-height-relative:page;" filled="f" o:preferrelative="t" stroked="f" coordsize="21600,21600">
            <v:path/>
            <v:fill on="f" focussize="0,0"/>
            <v:stroke on="f" joinstyle="miter"/>
            <v:imagedata r:id="rId7" o:title=""/>
            <o:lock v:ext="edit" aspectratio="t"/>
          </v:shape>
        </w:pict>
      </w:r>
      <w:r>
        <w:pict>
          <v:shape id="_x0000_s1034" o:spid="_x0000_s1034" o:spt="75" type="#_x0000_t75" style="position:absolute;left:0pt;margin-left:63.05pt;margin-top:506.85pt;height:70pt;width:469.2pt;mso-position-horizontal-relative:page;mso-position-vertical-relative:page;z-index:-251642880;mso-width-relative:page;mso-height-relative:page;" filled="f" o:preferrelative="t" stroked="f" coordsize="21600,21600">
            <v:path/>
            <v:fill on="f" focussize="0,0"/>
            <v:stroke on="f" joinstyle="miter"/>
            <v:imagedata r:id="rId8" o:title=""/>
            <o:lock v:ext="edit" aspectratio="t"/>
          </v:shape>
        </w:pict>
      </w:r>
      <w:r>
        <w:pict>
          <v:shape id="_x0000_s1035" o:spid="_x0000_s1035" o:spt="75" type="#_x0000_t75" style="position:absolute;left:0pt;margin-left:41.5pt;margin-top:811.65pt;height:3pt;width:512.25pt;mso-position-horizontal-relative:page;mso-position-vertical-relative:page;z-index:-251656192;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p>
    <w:p>
      <w:pPr>
        <w:spacing w:line="258" w:lineRule="exact"/>
        <w:ind w:right="1276"/>
        <w:jc w:val="center"/>
        <w:rPr>
          <w:rFonts w:ascii="MingLiU" w:hAnsi="Calibri"/>
          <w:color w:val="000000"/>
          <w:sz w:val="20"/>
          <w:szCs w:val="22"/>
          <w:lang w:val="en-US" w:eastAsia="en-US" w:bidi="ar-SA"/>
        </w:rPr>
      </w:pPr>
      <w:r>
        <w:rPr>
          <w:rFonts w:ascii="MingLiU" w:hAnsi="MingLiU" w:cs="MingLiU"/>
          <w:color w:val="000000"/>
          <w:spacing w:val="-7"/>
          <w:sz w:val="22"/>
          <w:szCs w:val="22"/>
          <w:lang w:val="en-US" w:eastAsia="en-US" w:bidi="ar-SA"/>
        </w:rPr>
        <w:cr/>
      </w:r>
    </w:p>
    <w:p>
      <w:pPr>
        <w:spacing w:before="1906"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4规划布局与建筑设计</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1规划布局</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1居住建筑规划布局应符合以下规定：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1建筑群体的布局应营造良好的风环境，保证室内及室外活动空间良好的自然通风条件，减少气流对区域微气候及</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建筑本身的不利影响。</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2有条件时，宜引入水陆风或山谷风以改善居住区的夏季热环境，并避开冬季不利风向。</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3宜进行场地风环境典型气象条件下的计算机模拟预测，优化建筑群布局。</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2建筑物宜采用南北适宜朝向布置。建筑平面布置时，宜优先使居室朝向南偏东15°</w:t>
      </w:r>
      <w:r>
        <w:rPr>
          <w:rFonts w:ascii="MingLiU" w:hAnsi="Calibri"/>
          <w:color w:val="000000"/>
          <w:spacing w:val="1"/>
          <w:sz w:val="20"/>
          <w:szCs w:val="22"/>
          <w:lang w:val="en-US" w:eastAsia="en-US" w:bidi="ar-SA"/>
        </w:rPr>
        <w:t xml:space="preserve"> </w:t>
      </w:r>
      <w:r>
        <w:rPr>
          <w:rFonts w:ascii="MingLiU" w:hAnsi="MingLiU" w:cs="MingLiU"/>
          <w:color w:val="000000"/>
          <w:spacing w:val="-3"/>
          <w:sz w:val="20"/>
          <w:szCs w:val="22"/>
          <w:lang w:val="en-US" w:eastAsia="en-US" w:bidi="ar-SA"/>
        </w:rPr>
        <w:t>至南偏西15°</w:t>
      </w:r>
      <w:r>
        <w:rPr>
          <w:rFonts w:ascii="MingLiU" w:hAnsi="Calibri"/>
          <w:color w:val="000000"/>
          <w:spacing w:val="3"/>
          <w:sz w:val="20"/>
          <w:szCs w:val="22"/>
          <w:lang w:val="en-US" w:eastAsia="en-US" w:bidi="ar-SA"/>
        </w:rPr>
        <w:t xml:space="preserve"> </w:t>
      </w:r>
      <w:r>
        <w:rPr>
          <w:rFonts w:ascii="MingLiU" w:hAnsi="MingLiU" w:cs="MingLiU"/>
          <w:color w:val="000000"/>
          <w:sz w:val="20"/>
          <w:szCs w:val="22"/>
          <w:lang w:val="en-US" w:eastAsia="en-US" w:bidi="ar-SA"/>
        </w:rPr>
        <w:t>，不宜采用东</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西不利朝向布置。当建筑处于不利朝向时，应采取补偿措施。</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3居住建筑之间的间距，除应符合当地城市规划部门有关建筑间距的规定外，还应符合《城市居住区规划设计规</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范》G</w:t>
      </w:r>
      <w:r>
        <w:rPr>
          <w:rFonts w:ascii="MingLiU" w:hAnsi="Calibri"/>
          <w:color w:val="000000"/>
          <w:spacing w:val="-54"/>
          <w:sz w:val="20"/>
          <w:szCs w:val="22"/>
          <w:lang w:val="en-US" w:eastAsia="en-US" w:bidi="ar-SA"/>
        </w:rPr>
        <w:t xml:space="preserve"> </w:t>
      </w:r>
      <w:r>
        <w:rPr>
          <w:rFonts w:ascii="MingLiU" w:hAnsi="Calibri"/>
          <w:color w:val="000000"/>
          <w:sz w:val="20"/>
          <w:szCs w:val="22"/>
          <w:lang w:val="en-US" w:eastAsia="en-US" w:bidi="ar-SA"/>
        </w:rPr>
        <w:t>B</w:t>
      </w:r>
      <w:r>
        <w:rPr>
          <w:rFonts w:ascii="MingLiU" w:hAnsi="Calibri"/>
          <w:color w:val="000000"/>
          <w:spacing w:val="-88"/>
          <w:sz w:val="20"/>
          <w:szCs w:val="22"/>
          <w:lang w:val="en-US" w:eastAsia="en-US" w:bidi="ar-SA"/>
        </w:rPr>
        <w:t xml:space="preserve"> </w:t>
      </w:r>
      <w:r>
        <w:rPr>
          <w:rFonts w:ascii="MingLiU" w:hAnsi="MingLiU" w:cs="MingLiU"/>
          <w:color w:val="000000"/>
          <w:spacing w:val="-2"/>
          <w:sz w:val="20"/>
          <w:szCs w:val="22"/>
          <w:lang w:val="en-US" w:eastAsia="en-US" w:bidi="ar-SA"/>
        </w:rPr>
        <w:t>50180中有关日照时间标准的规定。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4应满足当地城市规划部门有关绿地率的规定。宜采用立体绿化、复层绿化，合理进行绿化配置，室外场地及道</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路铺装宜选择透水性铺装材料及透水铺装构造。</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2建筑设计</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1建筑设计应优化建筑形体和内部空间布局，充分采用自然通风、自然采光、围护结构的保温隔热与遮阳等措施</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降低建筑的采暖、空调、照明等系统的能耗。</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2建筑物的体形系数必须符合表4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2限值的规定。建筑物体形系数的计算必须符合本标准附录A的规定。</w:t>
      </w:r>
    </w:p>
    <w:p>
      <w:pPr>
        <w:spacing w:before="166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3建筑物的东、西向和南向外窗及透明幕墙、坡屋面外窗应采取有效遮阳措施；当采用坡屋面外窗时，窗洞口面</w:t>
      </w:r>
      <w:r>
        <w:rPr>
          <w:rFonts w:ascii="MingLiU" w:hAnsi="MingLiU" w:cs="MingLiU"/>
          <w:color w:val="000000"/>
          <w:sz w:val="20"/>
          <w:szCs w:val="22"/>
          <w:lang w:val="en-US" w:eastAsia="en-US" w:bidi="ar-SA"/>
        </w:rPr>
        <w:cr/>
      </w:r>
      <w:r>
        <w:rPr>
          <w:rFonts w:ascii="MingLiU" w:hAnsi="MingLiU" w:cs="MingLiU"/>
          <w:color w:val="000000"/>
          <w:spacing w:val="1"/>
          <w:sz w:val="20"/>
          <w:szCs w:val="22"/>
          <w:lang w:val="en-US" w:eastAsia="en-US" w:bidi="ar-SA"/>
        </w:rPr>
        <w:t>积严禁大于该层卧室、起居室及明卫生间面积之和的8%，并应采用活动遮阳措施。</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4采用自然通风的房间，其直接或间接自然通风开口面积应符合下列规定：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1卧室、起居室（厅）的自然通风开口面积不应小于该房间地面面积的8%，明卫生间的自然通风开口面积不应小于</w:t>
      </w:r>
      <w:r>
        <w:rPr>
          <w:rFonts w:ascii="MingLiU" w:hAnsi="MingLiU" w:cs="MingLiU"/>
          <w:color w:val="000000"/>
          <w:spacing w:val="1"/>
          <w:sz w:val="20"/>
          <w:szCs w:val="22"/>
          <w:lang w:val="en-US" w:eastAsia="en-US" w:bidi="ar-SA"/>
        </w:rPr>
        <w:cr/>
      </w:r>
      <w:r>
        <w:rPr>
          <w:rFonts w:ascii="MingLiU" w:hAnsi="MingLiU" w:cs="MingLiU"/>
          <w:color w:val="000000"/>
          <w:spacing w:val="1"/>
          <w:sz w:val="20"/>
          <w:szCs w:val="22"/>
          <w:lang w:val="en-US" w:eastAsia="en-US" w:bidi="ar-SA"/>
        </w:rPr>
        <w:t>该房间地面面积的5%；当采用自然通风的房间外设置阳台时，阳台的自然通风开口面积不应小于采用自然通风的房</w:t>
      </w:r>
      <w:r>
        <w:rPr>
          <w:rFonts w:ascii="MingLiU" w:hAnsi="MingLiU" w:cs="MingLiU"/>
          <w:color w:val="000000"/>
          <w:spacing w:val="1"/>
          <w:sz w:val="20"/>
          <w:szCs w:val="22"/>
          <w:lang w:val="en-US" w:eastAsia="en-US" w:bidi="ar-SA"/>
        </w:rPr>
        <w:cr/>
      </w:r>
      <w:r>
        <w:rPr>
          <w:rFonts w:ascii="MingLiU" w:hAnsi="MingLiU" w:cs="MingLiU"/>
          <w:color w:val="000000"/>
          <w:spacing w:val="-1"/>
          <w:sz w:val="20"/>
          <w:szCs w:val="22"/>
          <w:lang w:val="en-US" w:eastAsia="en-US" w:bidi="ar-SA"/>
        </w:rPr>
        <w:t>间和阳台地板面积总和的8%</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2厨房的直接自然通风开口面</w:t>
      </w:r>
    </w:p>
    <w:p>
      <w:pPr>
        <w:spacing w:line="143" w:lineRule="exact"/>
        <w:ind w:left="4628"/>
        <w:rPr>
          <w:rFonts w:ascii="MingLiU" w:hAnsi="Calibri"/>
          <w:color w:val="000000"/>
          <w:sz w:val="13"/>
          <w:szCs w:val="22"/>
          <w:lang w:val="en-US" w:eastAsia="en-US" w:bidi="ar-SA"/>
        </w:rPr>
      </w:pPr>
      <w:r>
        <w:rPr>
          <w:rFonts w:ascii="MingLiU" w:hAnsi="Calibri"/>
          <w:color w:val="000000"/>
          <w:sz w:val="13"/>
          <w:szCs w:val="22"/>
          <w:lang w:val="en-US" w:eastAsia="en-US" w:bidi="ar-SA"/>
        </w:rPr>
        <w:t>2</w:t>
      </w:r>
    </w:p>
    <w:p>
      <w:pPr>
        <w:spacing w:line="210" w:lineRule="exact"/>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积不应小于该房间地板面积的10%</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，并不得小于0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60m</w:t>
      </w:r>
    </w:p>
    <w:tbl>
      <w:tblPr>
        <w:tblStyle w:val="3"/>
        <w:tblW w:w="10011" w:type="dxa"/>
        <w:tblInd w:w="0" w:type="dxa"/>
        <w:tblLayout w:type="fixed"/>
        <w:tblCellMar>
          <w:top w:w="0" w:type="dxa"/>
          <w:left w:w="0" w:type="dxa"/>
          <w:bottom w:w="0" w:type="dxa"/>
          <w:right w:w="0" w:type="dxa"/>
        </w:tblCellMar>
      </w:tblPr>
      <w:tblGrid>
        <w:gridCol w:w="9649"/>
        <w:gridCol w:w="20"/>
        <w:gridCol w:w="342"/>
      </w:tblGrid>
      <w:tr>
        <w:tblPrEx>
          <w:tblLayout w:type="fixed"/>
          <w:tblCellMar>
            <w:top w:w="0" w:type="dxa"/>
            <w:left w:w="0" w:type="dxa"/>
            <w:bottom w:w="0" w:type="dxa"/>
            <w:right w:w="0" w:type="dxa"/>
          </w:tblCellMar>
        </w:tblPrEx>
        <w:trPr>
          <w:trHeight w:val="240" w:hRule="atLeast"/>
        </w:trPr>
        <w:tc>
          <w:tcPr>
            <w:tcW w:w="9649" w:type="dxa"/>
            <w:vAlign w:val="top"/>
          </w:tcPr>
          <w:p>
            <w:pPr>
              <w:spacing w:before="40" w:line="200" w:lineRule="exact"/>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；当厨房外设置阳台时，阳台的自然通风开口面积不应小于厨房和阳台地板面积总和的10%，并不得小于0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60m</w:t>
            </w:r>
          </w:p>
        </w:tc>
        <w:tc>
          <w:tcPr>
            <w:tcW w:w="20" w:type="dxa"/>
            <w:vAlign w:val="top"/>
          </w:tcPr>
          <w:p>
            <w:pPr>
              <w:spacing w:line="0" w:lineRule="atLeast"/>
              <w:rPr>
                <w:rFonts w:ascii="MingLiU" w:hAnsi="Calibri"/>
                <w:color w:val="000000"/>
                <w:sz w:val="20"/>
                <w:szCs w:val="22"/>
                <w:lang w:val="en-US" w:eastAsia="en-US" w:bidi="ar-SA"/>
              </w:rPr>
            </w:pPr>
          </w:p>
        </w:tc>
        <w:tc>
          <w:tcPr>
            <w:tcW w:w="342" w:type="dxa"/>
            <w:vAlign w:val="top"/>
          </w:tcPr>
          <w:p>
            <w:pPr>
              <w:spacing w:line="200" w:lineRule="exact"/>
              <w:rPr>
                <w:rFonts w:ascii="MingLiU" w:hAnsi="Calibri"/>
                <w:color w:val="000000"/>
                <w:sz w:val="20"/>
                <w:szCs w:val="22"/>
                <w:lang w:val="en-US" w:eastAsia="en-US" w:bidi="ar-SA"/>
              </w:rPr>
            </w:pPr>
            <w:r>
              <w:rPr>
                <w:rFonts w:ascii="MingLiU" w:hAnsi="Calibri"/>
                <w:color w:val="000000"/>
                <w:spacing w:val="-3"/>
                <w:sz w:val="20"/>
                <w:szCs w:val="22"/>
                <w:vertAlign w:val="superscript"/>
                <w:lang w:val="en-US" w:eastAsia="en-US" w:bidi="ar-SA"/>
              </w:rPr>
              <w:t>2</w:t>
            </w:r>
            <w:r>
              <w:rPr>
                <w:rFonts w:ascii="MingLiU" w:hAnsi="MingLiU" w:cs="MingLiU"/>
                <w:color w:val="000000"/>
                <w:sz w:val="20"/>
                <w:szCs w:val="22"/>
                <w:lang w:val="en-US" w:eastAsia="en-US" w:bidi="ar-SA"/>
              </w:rPr>
              <w:t>。</w:t>
            </w:r>
          </w:p>
        </w:tc>
      </w:tr>
    </w:tbl>
    <w:p>
      <w:pPr>
        <w:spacing w:before="30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5当采用分体空调时，空调室外机应设置在通风良好的位置，并避免气流和噪声对周围环境造成污染。室外机的</w:t>
      </w:r>
      <w:r>
        <w:rPr>
          <w:rFonts w:ascii="MingLiU" w:hAnsi="MingLiU" w:cs="MingLiU"/>
          <w:color w:val="000000"/>
          <w:sz w:val="20"/>
          <w:szCs w:val="22"/>
          <w:lang w:val="en-US" w:eastAsia="en-US" w:bidi="ar-SA"/>
        </w:rPr>
        <w:cr/>
      </w:r>
      <w:r>
        <w:rPr>
          <w:rFonts w:ascii="MingLiU" w:hAnsi="MingLiU" w:cs="MingLiU"/>
          <w:color w:val="000000"/>
          <w:spacing w:val="1"/>
          <w:sz w:val="20"/>
          <w:szCs w:val="22"/>
          <w:lang w:val="en-US" w:eastAsia="en-US" w:bidi="ar-SA"/>
        </w:rPr>
        <w:t>搁板的设计应符合附录B的规定。</w:t>
      </w:r>
    </w:p>
    <w:p>
      <w:pPr>
        <w:spacing w:before="983"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3/13</w:t>
      </w:r>
    </w:p>
    <w:p>
      <w:pPr>
        <w:spacing w:line="258" w:lineRule="exact"/>
        <w:ind w:left="3118" w:right="1276"/>
        <w:rPr>
          <w:rFonts w:ascii="MingLiU" w:hAnsi="Calibri"/>
          <w:color w:val="000000"/>
          <w:sz w:val="20"/>
          <w:szCs w:val="22"/>
          <w:lang w:val="en-US" w:eastAsia="en-US" w:bidi="ar-SA"/>
        </w:rPr>
      </w:pPr>
      <w:r>
        <w:pict>
          <v:shape id="_x0000_s1037" o:spid="_x0000_s1037" o:spt="75" type="#_x0000_t75" style="position:absolute;left:0pt;margin-left:41.5pt;margin-top:53.85pt;height:3pt;width:512.25pt;mso-position-horizontal-relative:page;mso-position-vertical-relative:page;z-index:-251641856;mso-width-relative:page;mso-height-relative:page;" filled="f" o:preferrelative="t" stroked="f" coordsize="21600,21600">
            <v:path/>
            <v:fill on="f" focussize="0,0"/>
            <v:stroke on="f" joinstyle="miter"/>
            <v:imagedata r:id="rId4" o:title=""/>
            <o:lock v:ext="edit" aspectratio="t"/>
          </v:shape>
        </w:pict>
      </w:r>
      <w:r>
        <w:pict>
          <v:shape id="_x0000_s1038" o:spid="_x0000_s1038" o:spt="75" type="#_x0000_t75" style="position:absolute;left:0pt;margin-left:41.5pt;margin-top:811.65pt;height:3pt;width:512.25pt;mso-position-horizontal-relative:page;mso-position-vertical-relative:page;z-index:-251655168;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472"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6当安装太阳能热水系统时，应与建筑一体化设计，且确保安装构造安全可靠，其集热器位置应保证有效日照时</w:t>
      </w:r>
      <w:r>
        <w:rPr>
          <w:rFonts w:ascii="MingLiU" w:hAnsi="MingLiU" w:cs="MingLiU"/>
          <w:color w:val="000000"/>
          <w:sz w:val="20"/>
          <w:szCs w:val="22"/>
          <w:lang w:val="en-US" w:eastAsia="en-US" w:bidi="ar-SA"/>
        </w:rPr>
        <w:cr/>
      </w:r>
      <w:r>
        <w:rPr>
          <w:rFonts w:ascii="MingLiU" w:hAnsi="MingLiU" w:cs="MingLiU"/>
          <w:color w:val="000000"/>
          <w:spacing w:val="-5"/>
          <w:sz w:val="20"/>
          <w:szCs w:val="22"/>
          <w:lang w:val="en-US" w:eastAsia="en-US" w:bidi="ar-SA"/>
        </w:rPr>
        <w:t>数不小于1400小时/年。</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7平屋面宜采用种植屋面，东西向外墙可采用墙体垂直绿化。</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4</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8外墙的内墙面宜采用石膏砂浆或加气混凝土砌块墙专用保温抹灰砂浆。</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5建筑围护结构热工设计</w:t>
      </w:r>
    </w:p>
    <w:p>
      <w:pPr>
        <w:spacing w:before="250" w:line="250" w:lineRule="exact"/>
        <w:ind w:right="708"/>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1建筑围护结构各部分的热工性能指标必须符合表5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1的规定。外墙的传热系数、热惰性指标应考虑结构热桥的</w:t>
      </w:r>
      <w:r>
        <w:rPr>
          <w:rFonts w:ascii="MingLiU" w:hAnsi="MingLiU" w:cs="MingLiU"/>
          <w:color w:val="000000"/>
          <w:sz w:val="20"/>
          <w:szCs w:val="22"/>
          <w:lang w:val="en-US" w:eastAsia="en-US" w:bidi="ar-SA"/>
        </w:rPr>
        <w:cr/>
      </w:r>
      <w:r>
        <w:rPr>
          <w:rFonts w:ascii="MingLiU" w:hAnsi="MingLiU" w:cs="MingLiU"/>
          <w:color w:val="000000"/>
          <w:spacing w:val="2"/>
          <w:sz w:val="20"/>
          <w:szCs w:val="22"/>
          <w:lang w:val="en-US" w:eastAsia="en-US" w:bidi="ar-SA"/>
        </w:rPr>
        <w:t>影响，取各朝向外墙的平均传热系数Km</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与平均热惰性指标D</w:t>
      </w:r>
      <w:r>
        <w:rPr>
          <w:rFonts w:ascii="MingLiU" w:hAnsi="Calibri"/>
          <w:color w:val="000000"/>
          <w:spacing w:val="-52"/>
          <w:sz w:val="20"/>
          <w:szCs w:val="22"/>
          <w:lang w:val="en-US" w:eastAsia="en-US" w:bidi="ar-SA"/>
        </w:rPr>
        <w:t xml:space="preserve"> </w:t>
      </w:r>
      <w:r>
        <w:rPr>
          <w:rFonts w:ascii="MingLiU" w:hAnsi="Calibri"/>
          <w:color w:val="000000"/>
          <w:sz w:val="20"/>
          <w:szCs w:val="22"/>
          <w:lang w:val="en-US" w:eastAsia="en-US" w:bidi="ar-SA"/>
        </w:rPr>
        <w:t>m</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。当建筑有凸窗时，对凸窗不透明的上顶板、下底板 和侧板，应进行保温处理，且板的传热系数必须满足外墙传热系数的限值要求。分户墙、分隔采暖空调与不采暖空调</w:t>
      </w:r>
      <w:r>
        <w:rPr>
          <w:rFonts w:ascii="MingLiU" w:hAnsi="MingLiU" w:cs="MingLiU"/>
          <w:color w:val="000000"/>
          <w:sz w:val="20"/>
          <w:szCs w:val="22"/>
          <w:lang w:val="en-US" w:eastAsia="en-US" w:bidi="ar-SA"/>
        </w:rPr>
        <w:cr/>
      </w:r>
      <w:r>
        <w:rPr>
          <w:rFonts w:ascii="MingLiU" w:hAnsi="MingLiU" w:cs="MingLiU"/>
          <w:color w:val="000000"/>
          <w:spacing w:val="1"/>
          <w:sz w:val="20"/>
          <w:szCs w:val="22"/>
          <w:lang w:val="en-US" w:eastAsia="en-US" w:bidi="ar-SA"/>
        </w:rPr>
        <w:t>空间隔墙的传热系数，必须取其主体部位与梁柱、剪力墙等热桥部位的平均传热系数Km</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为不同结构类型的分户墙</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或隔墙）。</w:t>
      </w:r>
    </w:p>
    <w:p>
      <w:pPr>
        <w:spacing w:before="11287"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4/13</w:t>
      </w:r>
    </w:p>
    <w:p>
      <w:pPr>
        <w:spacing w:line="258" w:lineRule="exact"/>
        <w:ind w:right="1276"/>
        <w:rPr>
          <w:rFonts w:ascii="MingLiU" w:hAnsi="Calibri"/>
          <w:color w:val="000000"/>
          <w:sz w:val="20"/>
          <w:szCs w:val="22"/>
          <w:lang w:val="en-US" w:eastAsia="en-US" w:bidi="ar-SA"/>
        </w:rPr>
      </w:pPr>
      <w:r>
        <w:pict>
          <v:shape id="_x0000_s1040" o:spid="_x0000_s1040" o:spt="75" type="#_x0000_t75" style="position:absolute;left:0pt;margin-left:41.5pt;margin-top:53.85pt;height:3pt;width:512.25pt;mso-position-horizontal-relative:page;mso-position-vertical-relative:page;z-index:-251627520;mso-width-relative:page;mso-height-relative:page;" filled="f" o:preferrelative="t" stroked="f" coordsize="21600,21600">
            <v:path/>
            <v:fill on="f" focussize="0,0"/>
            <v:stroke on="f" joinstyle="miter"/>
            <v:imagedata r:id="rId9" o:title=""/>
            <o:lock v:ext="edit" aspectratio="t"/>
          </v:shape>
        </w:pict>
      </w:r>
      <w:r>
        <w:pict>
          <v:shape id="_x0000_s1041" o:spid="_x0000_s1041" o:spt="75" type="#_x0000_t75" style="position:absolute;left:0pt;margin-left:41.5pt;margin-top:74.65pt;height:696.5pt;width:336.95pt;mso-position-horizontal-relative:page;mso-position-vertical-relative:page;z-index:-251640832;mso-width-relative:page;mso-height-relative:page;" filled="f" o:preferrelative="t" stroked="f" coordsize="21600,21600">
            <v:path/>
            <v:fill on="f" focussize="0,0"/>
            <v:stroke on="f" joinstyle="miter"/>
            <v:imagedata r:id="rId10" o:title=""/>
            <o:lock v:ext="edit" aspectratio="t"/>
          </v:shape>
        </w:pict>
      </w:r>
      <w:r>
        <w:pict>
          <v:shape id="_x0000_s1042" o:spid="_x0000_s1042" o:spt="75" type="#_x0000_t75" style="position:absolute;left:0pt;margin-left:41.5pt;margin-top:811.65pt;height:3pt;width:512.25pt;mso-position-horizontal-relative:page;mso-position-vertical-relative:page;z-index:-251654144;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15259" w:line="250" w:lineRule="exact"/>
        <w:ind w:left="5706"/>
        <w:rPr>
          <w:rFonts w:ascii="MingLiU" w:hAnsi="Calibri"/>
          <w:color w:val="000000"/>
          <w:szCs w:val="22"/>
          <w:lang w:val="en-US" w:eastAsia="en-US" w:bidi="ar-SA"/>
        </w:rPr>
        <w:sectPr>
          <w:pgSz w:w="11900" w:h="16820"/>
          <w:pgMar w:top="280" w:right="100" w:bottom="0" w:left="3969"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5/13</w:t>
      </w:r>
    </w:p>
    <w:p>
      <w:pPr>
        <w:spacing w:line="258" w:lineRule="exact"/>
        <w:ind w:left="3118" w:right="1276"/>
        <w:rPr>
          <w:rFonts w:ascii="MingLiU" w:hAnsi="MingLiU" w:cs="MingLiU"/>
          <w:color w:val="000000"/>
          <w:spacing w:val="-7"/>
          <w:sz w:val="22"/>
          <w:szCs w:val="22"/>
          <w:lang w:val="en-US" w:eastAsia="en-US" w:bidi="ar-SA"/>
        </w:rPr>
      </w:pPr>
      <w:r>
        <w:pict>
          <v:shape id="_x0000_s1044" o:spid="_x0000_s1044" o:spt="75" type="#_x0000_t75" style="position:absolute;left:0pt;margin-left:41.5pt;margin-top:53.85pt;height:3pt;width:512.25pt;mso-position-horizontal-relative:page;mso-position-vertical-relative:page;z-index:-251616256;mso-width-relative:page;mso-height-relative:page;" filled="f" o:preferrelative="t" stroked="f" coordsize="21600,21600">
            <v:path/>
            <v:fill on="f" focussize="0,0"/>
            <v:stroke on="f" joinstyle="miter"/>
            <v:imagedata r:id="rId11" o:title=""/>
            <o:lock v:ext="edit" aspectratio="t"/>
          </v:shape>
        </w:pict>
      </w:r>
      <w:r>
        <w:pict>
          <v:shape id="_x0000_s1045" o:spid="_x0000_s1045" o:spt="75" type="#_x0000_t75" style="position:absolute;left:0pt;margin-left:58.65pt;margin-top:287.15pt;height:216.4pt;width:478pt;mso-position-horizontal-relative:page;mso-position-vertical-relative:page;z-index:-251626496;mso-width-relative:page;mso-height-relative:page;" filled="f" o:preferrelative="t" stroked="f" coordsize="21600,21600">
            <v:path/>
            <v:fill on="f" focussize="0,0"/>
            <v:stroke on="f" joinstyle="miter"/>
            <v:imagedata r:id="rId12" o:title=""/>
            <o:lock v:ext="edit" aspectratio="t"/>
          </v:shape>
        </w:pict>
      </w:r>
      <w:r>
        <w:pict>
          <v:shape id="_x0000_s1046" o:spid="_x0000_s1046" o:spt="75" type="#_x0000_t75" style="position:absolute;left:0pt;margin-left:61.05pt;margin-top:654.05pt;height:94.8pt;width:473.2pt;mso-position-horizontal-relative:page;mso-position-vertical-relative:page;z-index:-251639808;mso-width-relative:page;mso-height-relative:page;" filled="f" o:preferrelative="t" stroked="f" coordsize="21600,21600">
            <v:path/>
            <v:fill on="f" focussize="0,0"/>
            <v:stroke on="f" joinstyle="miter"/>
            <v:imagedata r:id="rId13" o:title=""/>
            <o:lock v:ext="edit" aspectratio="t"/>
          </v:shape>
        </w:pict>
      </w:r>
      <w:r>
        <w:pict>
          <v:shape id="_x0000_s1047" o:spid="_x0000_s1047" o:spt="75" type="#_x0000_t75" style="position:absolute;left:0pt;margin-left:41.5pt;margin-top:811.65pt;height:3pt;width:512.25pt;mso-position-horizontal-relative:page;mso-position-vertical-relative:page;z-index:-251653120;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line="258" w:lineRule="exact"/>
        <w:ind w:left="3118" w:right="1276"/>
        <w:rPr>
          <w:rFonts w:ascii="MingLiU" w:hAnsi="MingLiU" w:cs="MingLiU"/>
          <w:color w:val="000000"/>
          <w:spacing w:val="-7"/>
          <w:sz w:val="22"/>
          <w:szCs w:val="22"/>
          <w:lang w:val="en-US" w:eastAsia="en-US" w:bidi="ar-SA"/>
        </w:rPr>
      </w:pPr>
    </w:p>
    <w:p>
      <w:pPr>
        <w:spacing w:before="512"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4围护结构热工性能参数计算应符合下列规定：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1外墙的传热系数、热惰性指标限值应取各朝向外墙的平均传热系数Km</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与平均热惰性指标D</w:t>
      </w:r>
      <w:r>
        <w:rPr>
          <w:rFonts w:ascii="MingLiU" w:hAnsi="Calibri"/>
          <w:color w:val="000000"/>
          <w:spacing w:val="-52"/>
          <w:sz w:val="20"/>
          <w:szCs w:val="22"/>
          <w:lang w:val="en-US" w:eastAsia="en-US" w:bidi="ar-SA"/>
        </w:rPr>
        <w:t xml:space="preserve"> </w:t>
      </w:r>
      <w:r>
        <w:rPr>
          <w:rFonts w:ascii="MingLiU" w:hAnsi="Calibri"/>
          <w:color w:val="000000"/>
          <w:sz w:val="20"/>
          <w:szCs w:val="22"/>
          <w:lang w:val="en-US" w:eastAsia="en-US" w:bidi="ar-SA"/>
        </w:rPr>
        <w:t>m</w:t>
      </w:r>
      <w:r>
        <w:rPr>
          <w:rFonts w:ascii="MingLiU" w:hAnsi="Calibri"/>
          <w:color w:val="000000"/>
          <w:spacing w:val="-52"/>
          <w:sz w:val="20"/>
          <w:szCs w:val="22"/>
          <w:lang w:val="en-US" w:eastAsia="en-US" w:bidi="ar-SA"/>
        </w:rPr>
        <w:t>i</w:t>
      </w:r>
      <w:r>
        <w:rPr>
          <w:rFonts w:ascii="MingLiU" w:hAnsi="MingLiU" w:cs="MingLiU"/>
          <w:color w:val="000000"/>
          <w:sz w:val="20"/>
          <w:szCs w:val="22"/>
          <w:lang w:val="en-US" w:eastAsia="en-US" w:bidi="ar-SA"/>
        </w:rPr>
        <w:t>，其计算方法应符合</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本标准附录C</w:t>
      </w:r>
      <w:r>
        <w:rPr>
          <w:rFonts w:ascii="MingLiU" w:hAnsi="Calibri"/>
          <w:color w:val="000000"/>
          <w:spacing w:val="-61"/>
          <w:sz w:val="20"/>
          <w:szCs w:val="22"/>
          <w:lang w:val="en-US" w:eastAsia="en-US" w:bidi="ar-SA"/>
        </w:rPr>
        <w:t xml:space="preserve"> </w:t>
      </w:r>
      <w:r>
        <w:rPr>
          <w:rFonts w:ascii="MingLiU" w:hAnsi="MingLiU" w:cs="MingLiU"/>
          <w:color w:val="000000"/>
          <w:sz w:val="20"/>
          <w:szCs w:val="22"/>
          <w:lang w:val="en-US" w:eastAsia="en-US" w:bidi="ar-SA"/>
        </w:rPr>
        <w:t>的规定；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22当屋面和外墙外表面饰面材料的太阳辐射吸收系数ρ＞0</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70时，必须将本标准5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1表中屋面（保温屋面设置在不</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住人阁楼楼板上的坡屋面除外）和外墙传热系数的限值乘以0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90之后采用。屋面和外墙外表面饰面材料的太阳辐射吸</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收系数ρ应从本标准附录D</w:t>
      </w:r>
      <w:r>
        <w:rPr>
          <w:rFonts w:ascii="MingLiU" w:hAnsi="Calibri"/>
          <w:color w:val="000000"/>
          <w:spacing w:val="-52"/>
          <w:sz w:val="20"/>
          <w:szCs w:val="22"/>
          <w:lang w:val="en-US" w:eastAsia="en-US" w:bidi="ar-SA"/>
        </w:rPr>
        <w:t xml:space="preserve"> </w:t>
      </w:r>
      <w:r>
        <w:rPr>
          <w:rFonts w:ascii="MingLiU" w:hAnsi="MingLiU" w:cs="MingLiU"/>
          <w:color w:val="000000"/>
          <w:sz w:val="20"/>
          <w:szCs w:val="22"/>
          <w:lang w:val="en-US" w:eastAsia="en-US" w:bidi="ar-SA"/>
        </w:rPr>
        <w:t>中选取。</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33当屋顶和外墙的传热系数满足本标准5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1条的限值要求，但热惰性指标不满足本标准5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1条的限值要求时，必须</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按照《民用建筑热工设计规范》GB50176来验算屋顶和东、西向外墙的隔热设计要求。</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4对于土建、装修一体化设计的项目，楼板的传热系数应满足本标准5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1条的规定；对于土建、装修分别设计的项</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目，楼板的传热系数应按本标准5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1条的规定对装修设计提出要求。</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5窗墙面积比应按建筑开间（轴距离）计算，且平均窗墙面积比应按本标准附录E的规定计算。</w:t>
      </w:r>
    </w:p>
    <w:p>
      <w:pPr>
        <w:spacing w:before="4588"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5外窗（含外门透明部分）传热系数、窗玻璃遮阳系数、玻璃可见光透射比，应按《建筑门窗玻璃幕墙热工计算</w:t>
      </w:r>
      <w:r>
        <w:rPr>
          <w:rFonts w:ascii="MingLiU" w:hAnsi="MingLiU" w:cs="MingLiU"/>
          <w:color w:val="000000"/>
          <w:sz w:val="20"/>
          <w:szCs w:val="22"/>
          <w:lang w:val="en-US" w:eastAsia="en-US" w:bidi="ar-SA"/>
        </w:rPr>
        <w:cr/>
      </w:r>
      <w:r>
        <w:rPr>
          <w:rFonts w:ascii="MingLiU" w:hAnsi="MingLiU" w:cs="MingLiU"/>
          <w:color w:val="000000"/>
          <w:spacing w:val="-8"/>
          <w:sz w:val="20"/>
          <w:szCs w:val="22"/>
          <w:lang w:val="en-US" w:eastAsia="en-US" w:bidi="ar-SA"/>
        </w:rPr>
        <w:t>规程》JG</w:t>
      </w:r>
      <w:r>
        <w:rPr>
          <w:rFonts w:ascii="MingLiU" w:hAnsi="Calibri"/>
          <w:color w:val="000000"/>
          <w:spacing w:val="-54"/>
          <w:sz w:val="20"/>
          <w:szCs w:val="22"/>
          <w:lang w:val="en-US" w:eastAsia="en-US" w:bidi="ar-SA"/>
        </w:rPr>
        <w:t xml:space="preserve"> </w:t>
      </w:r>
      <w:r>
        <w:rPr>
          <w:rFonts w:ascii="MingLiU" w:hAnsi="Calibri"/>
          <w:color w:val="000000"/>
          <w:spacing w:val="-24"/>
          <w:sz w:val="20"/>
          <w:szCs w:val="22"/>
          <w:lang w:val="en-US" w:eastAsia="en-US" w:bidi="ar-SA"/>
        </w:rPr>
        <w:t>J/T</w:t>
      </w:r>
      <w:r>
        <w:rPr>
          <w:rFonts w:ascii="MingLiU" w:hAnsi="Calibri"/>
          <w:color w:val="000000"/>
          <w:spacing w:val="-79"/>
          <w:sz w:val="20"/>
          <w:szCs w:val="22"/>
          <w:lang w:val="en-US" w:eastAsia="en-US" w:bidi="ar-SA"/>
        </w:rPr>
        <w:t xml:space="preserve"> </w:t>
      </w:r>
      <w:r>
        <w:rPr>
          <w:rFonts w:ascii="MingLiU" w:hAnsi="MingLiU" w:cs="MingLiU"/>
          <w:color w:val="000000"/>
          <w:spacing w:val="-1"/>
          <w:sz w:val="20"/>
          <w:szCs w:val="22"/>
          <w:lang w:val="en-US" w:eastAsia="en-US" w:bidi="ar-SA"/>
        </w:rPr>
        <w:t>151的规定计算，工程设计可根据实际尺寸从本标准附录F中选取（含门芯板传热系数）。</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6东、西向外窗应采取建筑外遮阳措施，外遮阳系数SD不应大于0</w:t>
      </w:r>
      <w:r>
        <w:rPr>
          <w:rFonts w:ascii="MingLiU" w:hAnsi="Calibri"/>
          <w:color w:val="000000"/>
          <w:spacing w:val="-52"/>
          <w:sz w:val="20"/>
          <w:szCs w:val="22"/>
          <w:lang w:val="en-US" w:eastAsia="en-US" w:bidi="ar-SA"/>
        </w:rPr>
        <w:t>.</w:t>
      </w:r>
      <w:r>
        <w:rPr>
          <w:rFonts w:ascii="MingLiU" w:hAnsi="MingLiU" w:cs="MingLiU"/>
          <w:color w:val="000000"/>
          <w:spacing w:val="-8"/>
          <w:sz w:val="20"/>
          <w:szCs w:val="22"/>
          <w:lang w:val="en-US" w:eastAsia="en-US" w:bidi="ar-SA"/>
        </w:rPr>
        <w:t>8。</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7建筑物1～6层的外窗及敞开式阳台门的气密性等级，不应低于国家标准《建筑外门窗气密、水密、抗风压性能</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分级及检测方法》GB/T7106中规定的4级；7层及7层以上的外窗及敞开式阳台门的气密性等级，不应低于该标准规定</w:t>
      </w:r>
      <w:r>
        <w:rPr>
          <w:rFonts w:ascii="MingLiU" w:hAnsi="MingLiU" w:cs="MingLiU"/>
          <w:color w:val="000000"/>
          <w:sz w:val="20"/>
          <w:szCs w:val="22"/>
          <w:lang w:val="en-US" w:eastAsia="en-US" w:bidi="ar-SA"/>
        </w:rPr>
        <w:cr/>
      </w:r>
      <w:r>
        <w:rPr>
          <w:rFonts w:ascii="MingLiU" w:hAnsi="MingLiU" w:cs="MingLiU"/>
          <w:color w:val="000000"/>
          <w:spacing w:val="-3"/>
          <w:sz w:val="20"/>
          <w:szCs w:val="22"/>
          <w:lang w:val="en-US" w:eastAsia="en-US" w:bidi="ar-SA"/>
        </w:rPr>
        <w:t>的6级。</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8屋面和外墙的热桥部位的传热系数必须符合表5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8的限值规定。当不符合表5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8的限值规定时，必须做保温断</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热处理。</w:t>
      </w:r>
    </w:p>
    <w:p>
      <w:pPr>
        <w:spacing w:before="2196"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9当坡屋面建筑顶层有不住人阁楼时，屋面保温层宜设置在阁楼楼板上。当保温层设置在阁楼楼板上时，屋面保</w:t>
      </w:r>
    </w:p>
    <w:p>
      <w:pPr>
        <w:spacing w:before="1043"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6/13</w:t>
      </w:r>
    </w:p>
    <w:p>
      <w:pPr>
        <w:spacing w:line="258" w:lineRule="exact"/>
        <w:ind w:right="1276"/>
        <w:jc w:val="center"/>
        <w:rPr>
          <w:rFonts w:ascii="MingLiU" w:hAnsi="Calibri"/>
          <w:color w:val="000000"/>
          <w:sz w:val="20"/>
          <w:szCs w:val="22"/>
          <w:lang w:val="en-US" w:eastAsia="en-US" w:bidi="ar-SA"/>
        </w:rPr>
      </w:pPr>
      <w:r>
        <w:pict>
          <v:shape id="_x0000_s1049" o:spid="_x0000_s1049" o:spt="75" type="#_x0000_t75" style="position:absolute;left:0pt;margin-left:41.5pt;margin-top:53.85pt;height:3pt;width:512.25pt;mso-position-horizontal-relative:page;mso-position-vertical-relative:page;z-index:-251625472;mso-width-relative:page;mso-height-relative:page;" filled="f" o:preferrelative="t" stroked="f" coordsize="21600,21600">
            <v:path/>
            <v:fill on="f" focussize="0,0"/>
            <v:stroke on="f" joinstyle="miter"/>
            <v:imagedata r:id="rId14" o:title=""/>
            <o:lock v:ext="edit" aspectratio="t"/>
          </v:shape>
        </w:pict>
      </w:r>
      <w:r>
        <w:pict>
          <v:shape id="_x0000_s1050" o:spid="_x0000_s1050" o:spt="75" type="#_x0000_t75" style="position:absolute;left:0pt;margin-left:99.45pt;margin-top:662.15pt;height:21.2pt;width:396.4pt;mso-position-horizontal-relative:page;mso-position-vertical-relative:page;z-index:-251638784;mso-width-relative:page;mso-height-relative:page;" filled="f" o:preferrelative="t" stroked="f" coordsize="21600,21600">
            <v:path/>
            <v:fill on="f" focussize="0,0"/>
            <v:stroke on="f" joinstyle="miter"/>
            <v:imagedata r:id="rId15" o:title=""/>
            <o:lock v:ext="edit" aspectratio="t"/>
          </v:shape>
        </w:pict>
      </w:r>
      <w:r>
        <w:pict>
          <v:shape id="_x0000_s1051" o:spid="_x0000_s1051" o:spt="75" type="#_x0000_t75" style="position:absolute;left:0pt;margin-left:41.5pt;margin-top:811.65pt;height:3pt;width:512.25pt;mso-position-horizontal-relative:page;mso-position-vertical-relative:page;z-index:-251652096;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512" w:line="210" w:lineRule="exact"/>
        <w:rPr>
          <w:rFonts w:ascii="MingLiU" w:hAnsi="Calibri"/>
          <w:color w:val="000000"/>
          <w:sz w:val="20"/>
          <w:szCs w:val="22"/>
          <w:lang w:val="en-US" w:eastAsia="en-US" w:bidi="ar-SA"/>
        </w:rPr>
      </w:pPr>
      <w:r>
        <w:rPr>
          <w:rFonts w:ascii="MingLiU" w:hAnsi="MingLiU" w:cs="MingLiU"/>
          <w:color w:val="000000"/>
          <w:sz w:val="20"/>
          <w:szCs w:val="22"/>
          <w:lang w:val="en-US" w:eastAsia="en-US" w:bidi="ar-SA"/>
        </w:rPr>
        <w:t>温层无热惰性指标要求。</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10非透明幕墙的金属主龙骨应采用离墙（包括外墙外保温保护层面）悬挂构造。非透明幕墙各部位墙体的传热</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系数，应按本标准附录C</w:t>
      </w:r>
      <w:r>
        <w:rPr>
          <w:rFonts w:ascii="MingLiU" w:hAnsi="Calibri"/>
          <w:color w:val="000000"/>
          <w:spacing w:val="-61"/>
          <w:sz w:val="20"/>
          <w:szCs w:val="22"/>
          <w:lang w:val="en-US" w:eastAsia="en-US" w:bidi="ar-SA"/>
        </w:rPr>
        <w:t xml:space="preserve"> </w:t>
      </w:r>
      <w:r>
        <w:rPr>
          <w:rFonts w:ascii="MingLiU" w:hAnsi="MingLiU" w:cs="MingLiU"/>
          <w:color w:val="000000"/>
          <w:sz w:val="20"/>
          <w:szCs w:val="22"/>
          <w:lang w:val="en-US" w:eastAsia="en-US" w:bidi="ar-SA"/>
        </w:rPr>
        <w:t>第C</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5条的规定计算。</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5</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11外窗（门）框与墙体之间的缝隙，应采用高效保温材料填堵，不得采用普通水泥砂浆补缝。</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6供暖、通风和空气调节设计</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1一般规定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1采用集中供暖、集中空调系统和户式中央空调系统时，在施工图设计阶段，必须对每个房间的冬季热负荷和夏</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季逐时冷负荷进行计算。</w:t>
      </w:r>
    </w:p>
    <w:p>
      <w:pPr>
        <w:spacing w:before="250" w:line="250" w:lineRule="exact"/>
        <w:ind w:right="708" w:firstLine="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2供暖、空调方式及其设备的选择，应根据建筑规模和使用特征，结合当地能源、环境保护、投资条件及运行费 用，经技术经济分析综合论证后确定。采用集中供暖、集中空调系统时，冷热源应优先采用可再生能源、余热、废热</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等。</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3不应采用直接电热供暖设备或装置，不应采用电热锅炉、电热水器作为供暖和空调系统的热源。</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4采用集中供暖、空气调节系统时，必须设计分室（户）温度控制装置及分户热（冷）量计量装置。</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MingLiU" w:cs="MingLiU"/>
          <w:color w:val="000000"/>
          <w:spacing w:val="-4"/>
          <w:sz w:val="20"/>
          <w:szCs w:val="22"/>
          <w:lang w:val="en-US" w:eastAsia="en-US" w:bidi="ar-SA"/>
        </w:rPr>
        <w:t>2供暖</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1供暖系统应采用热水作为热媒。</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2集中供暖系统，采用散热器供暖时，供回水温度宜按75℃/50℃设计，供回水温差不宜小于20℃；采用低温热水</w:t>
      </w:r>
      <w:r>
        <w:rPr>
          <w:rFonts w:ascii="MingLiU" w:hAnsi="MingLiU" w:cs="MingLiU"/>
          <w:color w:val="000000"/>
          <w:spacing w:val="-2"/>
          <w:sz w:val="20"/>
          <w:szCs w:val="22"/>
          <w:lang w:val="en-US" w:eastAsia="en-US" w:bidi="ar-SA"/>
        </w:rPr>
        <w:cr/>
      </w:r>
      <w:r>
        <w:rPr>
          <w:rFonts w:ascii="MingLiU" w:hAnsi="MingLiU" w:cs="MingLiU"/>
          <w:color w:val="000000"/>
          <w:spacing w:val="-1"/>
          <w:sz w:val="20"/>
          <w:szCs w:val="22"/>
          <w:lang w:val="en-US" w:eastAsia="en-US" w:bidi="ar-SA"/>
        </w:rPr>
        <w:t>地板辐射供暖时，供水温度宜采用35℃～45℃，不应大于60℃，供回水温差不宜大于10℃，且不宜小于5℃。</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3室内供暖系统宜采用垂直双管系统或共用立管的分户独立循环双管系统，也可采用垂直单管跨越式系统，所采</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用的制式应能保证进行分室温度调节。</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4采用散热器供暖时，每组散热器进水管上应安装温度调节阀，且宜安装恒温控制阀。</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5除幼儿园、老年人和特殊功能要求的建筑外，散热器应明装。散热器外表面应刷非金属性涂料。</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6散热器的散热面积或数量，应根据热负荷计算确定。确定散热器所需散热量时，应扣除室内明装管道的散热量</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7室内热水供暖系统设计时应进行水力平衡计算，并应采取措施使设计工况时各并联环路之间的压力损失相对差</w:t>
      </w:r>
      <w:r>
        <w:rPr>
          <w:rFonts w:ascii="MingLiU" w:hAnsi="MingLiU" w:cs="MingLiU"/>
          <w:color w:val="000000"/>
          <w:sz w:val="20"/>
          <w:szCs w:val="22"/>
          <w:lang w:val="en-US" w:eastAsia="en-US" w:bidi="ar-SA"/>
        </w:rPr>
        <w:cr/>
      </w:r>
      <w:r>
        <w:rPr>
          <w:rFonts w:ascii="MingLiU" w:hAnsi="MingLiU" w:cs="MingLiU"/>
          <w:color w:val="000000"/>
          <w:spacing w:val="-2"/>
          <w:sz w:val="20"/>
          <w:szCs w:val="22"/>
          <w:lang w:val="en-US" w:eastAsia="en-US" w:bidi="ar-SA"/>
        </w:rPr>
        <w:t>额不大于15%</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8管道敷设在管沟、管井、技术夹层、阁楼及顶棚内等导致无益热损失较大的空间内或易被冻结的地方时应保温</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w:t>
      </w:r>
    </w:p>
    <w:p>
      <w:pPr>
        <w:spacing w:before="290" w:line="210" w:lineRule="exact"/>
        <w:ind w:left="41"/>
        <w:rPr>
          <w:rFonts w:ascii="MingLiU" w:hAnsi="MingLiU" w:cs="MingLiU"/>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9集中供暖系统热水循环水泵的耗电输热比（EH</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R</w:t>
      </w:r>
      <w:r>
        <w:rPr>
          <w:rFonts w:ascii="MingLiU" w:hAnsi="Calibri"/>
          <w:color w:val="000000"/>
          <w:spacing w:val="-74"/>
          <w:sz w:val="20"/>
          <w:szCs w:val="22"/>
          <w:lang w:val="en-US" w:eastAsia="en-US" w:bidi="ar-SA"/>
        </w:rPr>
        <w:t xml:space="preserve"> </w:t>
      </w:r>
      <w:r>
        <w:rPr>
          <w:rFonts w:ascii="MingLiU" w:hAnsi="MingLiU" w:cs="MingLiU"/>
          <w:color w:val="000000"/>
          <w:sz w:val="20"/>
          <w:szCs w:val="22"/>
          <w:lang w:val="en-US" w:eastAsia="en-US" w:bidi="ar-SA"/>
        </w:rPr>
        <w:t>）值应符合下式要求：</w:t>
      </w:r>
    </w:p>
    <w:p>
      <w:pPr>
        <w:spacing w:before="290" w:line="210" w:lineRule="exact"/>
        <w:ind w:left="41"/>
        <w:rPr>
          <w:rFonts w:ascii="MingLiU" w:hAnsi="MingLiU" w:cs="MingLiU"/>
          <w:color w:val="000000"/>
          <w:sz w:val="20"/>
          <w:szCs w:val="22"/>
          <w:lang w:val="en-US" w:eastAsia="en-US" w:bidi="ar-SA"/>
        </w:rPr>
      </w:pPr>
    </w:p>
    <w:p>
      <w:pPr>
        <w:spacing w:before="724"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3通风与空气调节</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1通风系统设计应符合下列规定：</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1应优先采用自然通风措施，当自然通风不能满足室内卫生要求或不具备自然通风条件时，应采用机械通风系统，</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或自然通风与机械通风结合的复合通风系统；</w:t>
      </w:r>
    </w:p>
    <w:p>
      <w:pPr>
        <w:spacing w:before="1103"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7/13</w:t>
      </w:r>
    </w:p>
    <w:p>
      <w:pPr>
        <w:spacing w:line="258" w:lineRule="exact"/>
        <w:ind w:right="1276"/>
        <w:jc w:val="center"/>
        <w:rPr>
          <w:rFonts w:ascii="MingLiU" w:hAnsi="Calibri"/>
          <w:color w:val="000000"/>
          <w:sz w:val="20"/>
          <w:szCs w:val="22"/>
          <w:lang w:val="en-US" w:eastAsia="en-US" w:bidi="ar-SA"/>
        </w:rPr>
      </w:pPr>
      <w:r>
        <w:pict>
          <v:shape id="_x0000_s1053" o:spid="_x0000_s1053" o:spt="75" type="#_x0000_t75" style="position:absolute;left:0pt;margin-left:41.5pt;margin-top:53.85pt;height:3pt;width:512.25pt;mso-position-horizontal-relative:page;mso-position-vertical-relative:page;z-index:-251637760;mso-width-relative:page;mso-height-relative:page;" filled="f" o:preferrelative="t" stroked="f" coordsize="21600,21600">
            <v:path/>
            <v:fill on="f" focussize="0,0"/>
            <v:stroke on="f" joinstyle="miter"/>
            <v:imagedata r:id="rId4" o:title=""/>
            <o:lock v:ext="edit" aspectratio="t"/>
          </v:shape>
        </w:pict>
      </w:r>
      <w:r>
        <w:pict>
          <v:shape id="_x0000_s1054" o:spid="_x0000_s1054" o:spt="75" type="#_x0000_t75" style="position:absolute;left:0pt;margin-left:41.5pt;margin-top:811.65pt;height:3pt;width:512.25pt;mso-position-horizontal-relative:page;mso-position-vertical-relative:page;z-index:-251651072;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472"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2厨房、无外窗卫生间应采用机械排风系统或预留机械排风系统风井，厨房和卫生间全面通风换气次数不宜小于3次</w:t>
      </w:r>
      <w:r>
        <w:rPr>
          <w:rFonts w:ascii="MingLiU" w:hAnsi="MingLiU" w:cs="MingLiU"/>
          <w:color w:val="000000"/>
          <w:sz w:val="20"/>
          <w:szCs w:val="22"/>
          <w:lang w:val="en-US" w:eastAsia="en-US" w:bidi="ar-SA"/>
        </w:rPr>
        <w:cr/>
      </w:r>
      <w:r>
        <w:rPr>
          <w:rFonts w:ascii="MingLiU" w:hAnsi="MingLiU" w:cs="MingLiU"/>
          <w:color w:val="000000"/>
          <w:spacing w:val="-10"/>
          <w:sz w:val="20"/>
          <w:szCs w:val="22"/>
          <w:lang w:val="en-US" w:eastAsia="en-US" w:bidi="ar-SA"/>
        </w:rPr>
        <w:t>/h；</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3厨房、卫生间的进风宜直接利用居室的排风，使室外新鲜空气首先进入居室，然后经厨房、卫生间排出；</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4宜结合建筑设计，合理利用被动式通风技术强化自然通风，当条件许可时，可采用屋顶无动力风帽装置。</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2采用集中供暖、集中空调或户式中央空调系统的住宅，宜设置排风热回收装置。</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3采用风冷空调设备时，应考虑空调器（机组）室外部分的位置，做到既不影响立面景观，又有良好的通风换热</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效果，同时便于室外机的清洗和维护。</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4采用户式中央空调（冷热水系统）时，应标明经详细计算的系统压力损失，并根据冷、热工况对配套水泵进行</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校核。</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5采用多联机空调系统时，系统冷媒管等效长度应满足对应制冷工况下满负荷的性能系数不低于3</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0；当产品技</w:t>
      </w:r>
      <w:r>
        <w:rPr>
          <w:rFonts w:ascii="MingLiU" w:hAnsi="MingLiU" w:cs="MingLiU"/>
          <w:color w:val="000000"/>
          <w:spacing w:val="-2"/>
          <w:sz w:val="20"/>
          <w:szCs w:val="22"/>
          <w:lang w:val="en-US" w:eastAsia="en-US" w:bidi="ar-SA"/>
        </w:rPr>
        <w:cr/>
      </w:r>
      <w:r>
        <w:rPr>
          <w:rFonts w:ascii="MingLiU" w:hAnsi="MingLiU" w:cs="MingLiU"/>
          <w:color w:val="000000"/>
          <w:spacing w:val="-1"/>
          <w:sz w:val="20"/>
          <w:szCs w:val="22"/>
          <w:lang w:val="en-US" w:eastAsia="en-US" w:bidi="ar-SA"/>
        </w:rPr>
        <w:t>术资料无法满足核算要求时，系统冷媒管等效长度不应超过60m</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6空调冷、热水系统的设计应符合下列规定：</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1应采用两管制水系统；</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2应采用闭式循环水系统；</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3系统较小或各环路压力损失相差不大时，宜采用一次泵系统，在确保系统安全运行的前提下，经济技术比较合理</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时，一次泵宜采用变速调节方式；</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4系统较大、阻力较高，且各环路压力损失相差较大时，宜采用二次泵系统，二次泵应采用变速调节方式；</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pacing w:val="-1"/>
          <w:sz w:val="20"/>
          <w:szCs w:val="22"/>
          <w:lang w:val="en-US" w:eastAsia="en-US" w:bidi="ar-SA"/>
        </w:rPr>
        <w:t>5空调冷水供回水温差不应小于5℃；空调热水供回水温差不应小于10℃。系统较大时，在技术可靠、经济合理的前</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提下，宜加大冷、热水供回水温差。</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MingLiU" w:cs="MingLiU"/>
          <w:color w:val="000000"/>
          <w:sz w:val="20"/>
          <w:szCs w:val="22"/>
          <w:lang w:val="en-US" w:eastAsia="en-US" w:bidi="ar-SA"/>
        </w:rPr>
        <w:t>6采用直燃式冷（温）水机组、空气源热泵、地源热泵等作为热源时，空调热水供回水温度和温差应按设备要求和</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具体情况确定，并应使设备具有较高的供热性能系数；</w:t>
      </w:r>
    </w:p>
    <w:p>
      <w:pPr>
        <w:spacing w:before="290" w:line="210" w:lineRule="exact"/>
        <w:ind w:left="41"/>
        <w:rPr>
          <w:rFonts w:ascii="MingLiU" w:hAnsi="Calibri"/>
          <w:color w:val="000000"/>
          <w:sz w:val="20"/>
          <w:szCs w:val="22"/>
          <w:lang w:val="en-US" w:eastAsia="en-US" w:bidi="ar-SA"/>
        </w:rPr>
      </w:pPr>
      <w:r>
        <w:rPr>
          <w:rFonts w:ascii="MingLiU" w:hAnsi="MingLiU" w:cs="MingLiU"/>
          <w:color w:val="000000"/>
          <w:sz w:val="20"/>
          <w:szCs w:val="22"/>
          <w:lang w:val="en-US" w:eastAsia="en-US" w:bidi="ar-SA"/>
        </w:rPr>
        <w:t>7空气调节水系统的定压和膨胀，宜采用高位膨胀水箱方式。</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7集中空调系统的冷水循环水泵与热水循环水泵宜分别设置。</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8空调水系统设计时应进行水力平衡计算，并应采取措施使设计工况时各并联环路之间的压力损失相对差额不大</w:t>
      </w:r>
      <w:r>
        <w:rPr>
          <w:rFonts w:ascii="MingLiU" w:hAnsi="MingLiU" w:cs="MingLiU"/>
          <w:color w:val="000000"/>
          <w:sz w:val="20"/>
          <w:szCs w:val="22"/>
          <w:lang w:val="en-US" w:eastAsia="en-US" w:bidi="ar-SA"/>
        </w:rPr>
        <w:cr/>
      </w:r>
      <w:r>
        <w:rPr>
          <w:rFonts w:ascii="MingLiU" w:hAnsi="MingLiU" w:cs="MingLiU"/>
          <w:color w:val="000000"/>
          <w:spacing w:val="-4"/>
          <w:sz w:val="20"/>
          <w:szCs w:val="22"/>
          <w:lang w:val="en-US" w:eastAsia="en-US" w:bidi="ar-SA"/>
        </w:rPr>
        <w:t>于15%</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9空气调节冷热水管的绝热厚度，应按现行国家标准《设备及管道绝热设计导则》GB/T8175的经济厚度和防表面</w:t>
      </w:r>
      <w:r>
        <w:rPr>
          <w:rFonts w:ascii="MingLiU" w:hAnsi="MingLiU" w:cs="MingLiU"/>
          <w:color w:val="000000"/>
          <w:sz w:val="20"/>
          <w:szCs w:val="22"/>
          <w:lang w:val="en-US" w:eastAsia="en-US" w:bidi="ar-SA"/>
        </w:rPr>
        <w:cr/>
      </w:r>
      <w:r>
        <w:rPr>
          <w:rFonts w:ascii="MingLiU" w:hAnsi="MingLiU" w:cs="MingLiU"/>
          <w:color w:val="000000"/>
          <w:spacing w:val="2"/>
          <w:sz w:val="20"/>
          <w:szCs w:val="22"/>
          <w:lang w:val="en-US" w:eastAsia="en-US" w:bidi="ar-SA"/>
        </w:rPr>
        <w:t>结露厚度的方法计算，空气调节冷热水管的最小保温厚度亦可按本标准附录H的规定选用。</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10空调冷凝水管道保冷的最小绝热层厚度应符合表6</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3</w:t>
      </w:r>
      <w:r>
        <w:rPr>
          <w:rFonts w:ascii="MingLiU" w:hAnsi="Calibri"/>
          <w:color w:val="000000"/>
          <w:spacing w:val="-52"/>
          <w:sz w:val="20"/>
          <w:szCs w:val="22"/>
          <w:lang w:val="en-US" w:eastAsia="en-US" w:bidi="ar-SA"/>
        </w:rPr>
        <w:t>.</w:t>
      </w:r>
      <w:r>
        <w:rPr>
          <w:rFonts w:ascii="MingLiU" w:hAnsi="MingLiU" w:cs="MingLiU"/>
          <w:color w:val="000000"/>
          <w:spacing w:val="-3"/>
          <w:sz w:val="20"/>
          <w:szCs w:val="22"/>
          <w:lang w:val="en-US" w:eastAsia="en-US" w:bidi="ar-SA"/>
        </w:rPr>
        <w:t>10的规定。</w:t>
      </w:r>
    </w:p>
    <w:p>
      <w:pPr>
        <w:spacing w:before="3287" w:line="250" w:lineRule="exact"/>
        <w:ind w:left="8824"/>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8/13</w:t>
      </w:r>
    </w:p>
    <w:p>
      <w:pPr>
        <w:spacing w:line="258" w:lineRule="exact"/>
        <w:ind w:right="1276"/>
        <w:rPr>
          <w:rFonts w:ascii="MingLiU" w:hAnsi="Calibri"/>
          <w:color w:val="000000"/>
          <w:sz w:val="20"/>
          <w:szCs w:val="22"/>
          <w:lang w:val="en-US" w:eastAsia="en-US" w:bidi="ar-SA"/>
        </w:rPr>
      </w:pPr>
      <w:r>
        <w:pict>
          <v:shape id="_x0000_s1056" o:spid="_x0000_s1056" o:spt="75" type="#_x0000_t75" style="position:absolute;left:0pt;margin-left:41.5pt;margin-top:53.85pt;height:3pt;width:512.25pt;mso-position-horizontal-relative:page;mso-position-vertical-relative:page;z-index:-251623424;mso-width-relative:page;mso-height-relative:page;" filled="f" o:preferrelative="t" stroked="f" coordsize="21600,21600">
            <v:path/>
            <v:fill on="f" focussize="0,0"/>
            <v:stroke on="f" joinstyle="miter"/>
            <v:imagedata r:id="rId16" o:title=""/>
            <o:lock v:ext="edit" aspectratio="t"/>
          </v:shape>
        </w:pict>
      </w:r>
      <w:r>
        <w:pict>
          <v:shape id="_x0000_s1057" o:spid="_x0000_s1057" o:spt="75" type="#_x0000_t75" style="position:absolute;left:0pt;margin-left:41.5pt;margin-top:74.65pt;height:696.5pt;width:171.8pt;mso-position-horizontal-relative:page;mso-position-vertical-relative:page;z-index:-251636736;mso-width-relative:page;mso-height-relative:page;" filled="f" o:preferrelative="t" stroked="f" coordsize="21600,21600">
            <v:path/>
            <v:fill on="f" focussize="0,0"/>
            <v:stroke on="f" joinstyle="miter"/>
            <v:imagedata r:id="rId17" o:title=""/>
            <o:lock v:ext="edit" aspectratio="t"/>
          </v:shape>
        </w:pict>
      </w:r>
      <w:r>
        <w:pict>
          <v:shape id="_x0000_s1058" o:spid="_x0000_s1058" o:spt="75" type="#_x0000_t75" style="position:absolute;left:0pt;margin-left:41.5pt;margin-top:811.65pt;height:3pt;width:512.25pt;mso-position-horizontal-relative:page;mso-position-vertical-relative:page;z-index:-251650048;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15259" w:line="250" w:lineRule="exact"/>
        <w:ind w:left="5706"/>
        <w:rPr>
          <w:rFonts w:ascii="MingLiU" w:hAnsi="Calibri"/>
          <w:color w:val="000000"/>
          <w:szCs w:val="22"/>
          <w:lang w:val="en-US" w:eastAsia="en-US" w:bidi="ar-SA"/>
        </w:rPr>
        <w:sectPr>
          <w:pgSz w:w="11900" w:h="16820"/>
          <w:pgMar w:top="280" w:right="100" w:bottom="0" w:left="3969"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10"/>
          <w:szCs w:val="22"/>
          <w:lang w:val="en-US" w:eastAsia="en-US" w:bidi="ar-SA"/>
        </w:rPr>
        <w:t>9/13</w:t>
      </w:r>
    </w:p>
    <w:p>
      <w:pPr>
        <w:spacing w:line="258" w:lineRule="exact"/>
        <w:ind w:right="1276"/>
        <w:jc w:val="center"/>
        <w:rPr>
          <w:rFonts w:ascii="MingLiU" w:hAnsi="Calibri"/>
          <w:color w:val="000000"/>
          <w:sz w:val="20"/>
          <w:szCs w:val="22"/>
          <w:lang w:val="en-US" w:eastAsia="en-US" w:bidi="ar-SA"/>
        </w:rPr>
      </w:pPr>
      <w:r>
        <w:pict>
          <v:shape id="_x0000_s1060" o:spid="_x0000_s1060" o:spt="75" type="#_x0000_t75" style="position:absolute;left:0pt;margin-left:41.5pt;margin-top:53.85pt;height:3pt;width:512.25pt;mso-position-horizontal-relative:page;mso-position-vertical-relative:page;z-index:-251635712;mso-width-relative:page;mso-height-relative:page;" filled="f" o:preferrelative="t" stroked="f" coordsize="21600,21600">
            <v:path/>
            <v:fill on="f" focussize="0,0"/>
            <v:stroke on="f" joinstyle="miter"/>
            <v:imagedata r:id="rId4" o:title=""/>
            <o:lock v:ext="edit" aspectratio="t"/>
          </v:shape>
        </w:pict>
      </w:r>
      <w:r>
        <w:pict>
          <v:shape id="_x0000_s1061" o:spid="_x0000_s1061" o:spt="75" type="#_x0000_t75" style="position:absolute;left:0pt;margin-left:41.5pt;margin-top:811.65pt;height:3pt;width:512.25pt;mso-position-horizontal-relative:page;mso-position-vertical-relative:page;z-index:-251649024;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512" w:line="210" w:lineRule="exact"/>
        <w:ind w:left="41"/>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7给水排水设计</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1供水系统</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1居住建筑小区的室外给水系统应尽量利用城镇给水管网的水压直接供水；建筑物的室内给水系统宜充分利用城</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镇给水管网的水压直接供水。</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2高层建筑的给水、中水、热水系统应竖向分区。静水压大于0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35M</w:t>
      </w:r>
      <w:r>
        <w:rPr>
          <w:rFonts w:ascii="MingLiU" w:hAnsi="Calibri"/>
          <w:color w:val="000000"/>
          <w:spacing w:val="-13"/>
          <w:sz w:val="20"/>
          <w:szCs w:val="22"/>
          <w:lang w:val="en-US" w:eastAsia="en-US" w:bidi="ar-SA"/>
        </w:rPr>
        <w:t xml:space="preserve"> </w:t>
      </w:r>
      <w:r>
        <w:rPr>
          <w:rFonts w:ascii="MingLiU" w:hAnsi="MingLiU" w:cs="MingLiU"/>
          <w:color w:val="000000"/>
          <w:sz w:val="20"/>
          <w:szCs w:val="22"/>
          <w:lang w:val="en-US" w:eastAsia="en-US" w:bidi="ar-SA"/>
        </w:rPr>
        <w:t>Pa的入户管或配水横管，宜设减压或调压设</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施，使各用水点处供水压力不大于0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20M</w:t>
      </w:r>
      <w:r>
        <w:rPr>
          <w:rFonts w:ascii="MingLiU" w:hAnsi="Calibri"/>
          <w:color w:val="000000"/>
          <w:spacing w:val="-13"/>
          <w:sz w:val="20"/>
          <w:szCs w:val="22"/>
          <w:lang w:val="en-US" w:eastAsia="en-US" w:bidi="ar-SA"/>
        </w:rPr>
        <w:t xml:space="preserve"> </w:t>
      </w:r>
      <w:r>
        <w:rPr>
          <w:rFonts w:ascii="MingLiU" w:hAnsi="MingLiU" w:cs="MingLiU"/>
          <w:color w:val="000000"/>
          <w:spacing w:val="-3"/>
          <w:sz w:val="20"/>
          <w:szCs w:val="22"/>
          <w:lang w:val="en-US" w:eastAsia="en-US" w:bidi="ar-SA"/>
        </w:rPr>
        <w:t>Pa。</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3居住建筑入户管给水压力不应大于0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35M</w:t>
      </w:r>
      <w:r>
        <w:rPr>
          <w:rFonts w:ascii="MingLiU" w:hAnsi="Calibri"/>
          <w:color w:val="000000"/>
          <w:spacing w:val="-13"/>
          <w:sz w:val="20"/>
          <w:szCs w:val="22"/>
          <w:lang w:val="en-US" w:eastAsia="en-US" w:bidi="ar-SA"/>
        </w:rPr>
        <w:t xml:space="preserve"> </w:t>
      </w:r>
      <w:r>
        <w:rPr>
          <w:rFonts w:ascii="MingLiU" w:hAnsi="MingLiU" w:cs="MingLiU"/>
          <w:color w:val="000000"/>
          <w:spacing w:val="-3"/>
          <w:sz w:val="20"/>
          <w:szCs w:val="22"/>
          <w:lang w:val="en-US" w:eastAsia="en-US" w:bidi="ar-SA"/>
        </w:rPr>
        <w:t>Pa。</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4给水系统所用水泵应根据管网水力计算选型，所选水泵应在高效区内运行，Q-</w:t>
      </w:r>
      <w:r>
        <w:rPr>
          <w:rFonts w:ascii="MingLiU" w:hAnsi="MingLiU" w:cs="MingLiU"/>
          <w:color w:val="000000"/>
          <w:spacing w:val="1"/>
          <w:sz w:val="20"/>
          <w:szCs w:val="22"/>
          <w:lang w:val="en-US" w:eastAsia="en-US" w:bidi="ar-SA"/>
        </w:rPr>
        <w:cr/>
      </w:r>
      <w:r>
        <w:rPr>
          <w:rFonts w:ascii="MingLiU" w:hAnsi="Calibri"/>
          <w:color w:val="000000"/>
          <w:sz w:val="20"/>
          <w:szCs w:val="22"/>
          <w:lang w:val="en-US" w:eastAsia="en-US" w:bidi="ar-SA"/>
        </w:rPr>
        <w:t>H</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曲线特性应随着流量增大，扬程逐渐下降。</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5给水系统采用变频调速泵组供水时，各台水泵宜在高效区内工作。水泵调速范围宜在0</w:t>
      </w:r>
      <w:r>
        <w:rPr>
          <w:rFonts w:ascii="MingLiU" w:hAnsi="Calibri"/>
          <w:color w:val="000000"/>
          <w:spacing w:val="-52"/>
          <w:sz w:val="20"/>
          <w:szCs w:val="22"/>
          <w:lang w:val="en-US" w:eastAsia="en-US" w:bidi="ar-SA"/>
        </w:rPr>
        <w:t>.</w:t>
      </w:r>
      <w:r>
        <w:rPr>
          <w:rFonts w:ascii="MingLiU" w:hAnsi="MingLiU" w:cs="MingLiU"/>
          <w:color w:val="000000"/>
          <w:spacing w:val="-4"/>
          <w:sz w:val="20"/>
          <w:szCs w:val="22"/>
          <w:lang w:val="en-US" w:eastAsia="en-US" w:bidi="ar-SA"/>
        </w:rPr>
        <w:t>7～1</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0范围内。水泵额</w:t>
      </w:r>
      <w:r>
        <w:rPr>
          <w:rFonts w:ascii="MingLiU" w:hAnsi="MingLiU" w:cs="MingLiU"/>
          <w:color w:val="000000"/>
          <w:spacing w:val="-1"/>
          <w:sz w:val="20"/>
          <w:szCs w:val="22"/>
          <w:lang w:val="en-US" w:eastAsia="en-US" w:bidi="ar-SA"/>
        </w:rPr>
        <w:cr/>
      </w:r>
      <w:r>
        <w:rPr>
          <w:rFonts w:ascii="MingLiU" w:hAnsi="MingLiU" w:cs="MingLiU"/>
          <w:color w:val="000000"/>
          <w:sz w:val="20"/>
          <w:szCs w:val="22"/>
          <w:lang w:val="en-US" w:eastAsia="en-US" w:bidi="ar-SA"/>
        </w:rPr>
        <w:t>定转速时的工况点，应位于水泵高效区的末段。</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6变频调速泵组的水泵数量应根据主泵高效区流量与设计流量变化范围间的比例关系确定，宜采用两台或多台变</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频方式运行，并应至少设一台备用泵。恒压供水宜采用同型号水泵，变压供水宜采用不同型号水泵。</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7给水系统采用管网叠压供水时，水泵工频与变频运行的工作区均宜在高效区内。</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8冷却塔应选用冷效高、飘水少、噪声低的产品，设置场所宜气流通畅、湿热空气回流影响小。成品冷却塔循环</w:t>
      </w:r>
      <w:r>
        <w:rPr>
          <w:rFonts w:ascii="MingLiU" w:hAnsi="MingLiU" w:cs="MingLiU"/>
          <w:color w:val="000000"/>
          <w:sz w:val="20"/>
          <w:szCs w:val="22"/>
          <w:lang w:val="en-US" w:eastAsia="en-US" w:bidi="ar-SA"/>
        </w:rPr>
        <w:cr/>
      </w:r>
      <w:r>
        <w:rPr>
          <w:rFonts w:ascii="MingLiU" w:hAnsi="MingLiU" w:cs="MingLiU"/>
          <w:color w:val="000000"/>
          <w:spacing w:val="-1"/>
          <w:sz w:val="20"/>
          <w:szCs w:val="22"/>
          <w:lang w:val="en-US" w:eastAsia="en-US" w:bidi="ar-SA"/>
        </w:rPr>
        <w:t>水量应根据热力特性曲线选定，并不宜小于80％额定水量。</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2热水系统</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1热水供应系统的热源，宜首先利用工业余热、废热、地热；充分利用太阳能、空气源、地源等可再生能源；有</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条件时，可利用空调系统冷凝热，同时可考虑多种热源互补。</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2具备太阳能集热条件的十二层（武汉地区为18层）及以下住宅、商住楼以及其他需供应热水的居住建筑，应设</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置太阳能热水系统，并应与建筑进行一体化设计。太阳能集热器面积应经过计算确定。太阳能热水系统设计应满足《</w:t>
      </w:r>
      <w:r>
        <w:rPr>
          <w:rFonts w:ascii="MingLiU" w:hAnsi="MingLiU" w:cs="MingLiU"/>
          <w:color w:val="000000"/>
          <w:sz w:val="20"/>
          <w:szCs w:val="22"/>
          <w:lang w:val="en-US" w:eastAsia="en-US" w:bidi="ar-SA"/>
        </w:rPr>
        <w:cr/>
      </w:r>
      <w:r>
        <w:rPr>
          <w:rFonts w:ascii="MingLiU" w:hAnsi="MingLiU" w:cs="MingLiU"/>
          <w:color w:val="000000"/>
          <w:spacing w:val="1"/>
          <w:sz w:val="20"/>
          <w:szCs w:val="22"/>
          <w:lang w:val="en-US" w:eastAsia="en-US" w:bidi="ar-SA"/>
        </w:rPr>
        <w:t>民用建筑太阳能热水系统应用技术规范》GB50364的要求。</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3十二层（武汉地区为18层）以上的住宅、商住楼，当计算的太阳能集热器所需安装面积超过建筑屋面可提供的</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最大适宜安装面积时，可按建筑屋面最大适宜安装面积确定集热器面积，尽量满足建筑上部用户的热水需求。</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4具备太阳能集热条件，而采用空气源、水源、地源等热泵技术时，其降低能耗综合效能应不低于同条件应用的</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太阳能热水系统。</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5热水供应系统应有保证用水点处冷、热水供水压力平衡的措施，冷热水压力差不宜大于0</w:t>
      </w:r>
      <w:r>
        <w:rPr>
          <w:rFonts w:ascii="MingLiU" w:hAnsi="Calibri"/>
          <w:color w:val="000000"/>
          <w:spacing w:val="-52"/>
          <w:sz w:val="20"/>
          <w:szCs w:val="22"/>
          <w:lang w:val="en-US" w:eastAsia="en-US" w:bidi="ar-SA"/>
        </w:rPr>
        <w:t>.</w:t>
      </w:r>
      <w:r>
        <w:rPr>
          <w:rFonts w:ascii="MingLiU" w:hAnsi="Calibri"/>
          <w:color w:val="000000"/>
          <w:spacing w:val="-8"/>
          <w:sz w:val="20"/>
          <w:szCs w:val="22"/>
          <w:lang w:val="en-US" w:eastAsia="en-US" w:bidi="ar-SA"/>
        </w:rPr>
        <w:t>02M</w:t>
      </w:r>
      <w:r>
        <w:rPr>
          <w:rFonts w:ascii="MingLiU" w:hAnsi="Calibri"/>
          <w:color w:val="000000"/>
          <w:spacing w:val="-13"/>
          <w:sz w:val="20"/>
          <w:szCs w:val="22"/>
          <w:lang w:val="en-US" w:eastAsia="en-US" w:bidi="ar-SA"/>
        </w:rPr>
        <w:t xml:space="preserve"> </w:t>
      </w:r>
      <w:r>
        <w:rPr>
          <w:rFonts w:ascii="MingLiU" w:hAnsi="MingLiU" w:cs="MingLiU"/>
          <w:color w:val="000000"/>
          <w:spacing w:val="-3"/>
          <w:sz w:val="20"/>
          <w:szCs w:val="22"/>
          <w:lang w:val="en-US" w:eastAsia="en-US" w:bidi="ar-SA"/>
        </w:rPr>
        <w:t>Pa。</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6集中热水供应系统应设置循环系统。设有三个或三个以上卫生间的局部热水供应系统当采用共用水加热设备时</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，宜设置循环系统。</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7采用蒸汽制备热水、开水时，应采用间接加热方式，凝结水应回收利用。</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8采用可再生能源的热水供应系统应设置贮热设备，太阳能系统的贮热容积宜按最高日热水用水量的70%～90%</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选取。</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9热水供应系统的设备和管道应保温，保温层厚度应经计算确定。设备与管道采用柔性泡沫橡塑、离心玻璃棉保</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温时，最小保温厚度可按附录H</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选用。</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7</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10热水供应系统的加热设备与循环水泵应设置温度自控装置，控制热源的用量与循环系统的起停。</w:t>
      </w:r>
    </w:p>
    <w:p>
      <w:pPr>
        <w:spacing w:before="1037" w:line="250" w:lineRule="exact"/>
        <w:ind w:left="8725"/>
        <w:rPr>
          <w:rFonts w:ascii="MingLiU" w:hAnsi="Calibri"/>
          <w:color w:val="000000"/>
          <w:szCs w:val="22"/>
          <w:lang w:val="en-US" w:eastAsia="en-US" w:bidi="ar-SA"/>
        </w:rPr>
        <w:sectPr>
          <w:pgSz w:w="11900" w:h="16820"/>
          <w:pgMar w:top="280" w:right="100" w:bottom="0" w:left="850"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5"/>
          <w:szCs w:val="22"/>
          <w:lang w:val="en-US" w:eastAsia="en-US" w:bidi="ar-SA"/>
        </w:rPr>
        <w:t>10</w:t>
      </w:r>
      <w:r>
        <w:rPr>
          <w:rFonts w:ascii="MingLiU" w:hAnsi="Calibri"/>
          <w:color w:val="000000"/>
          <w:spacing w:val="-79"/>
          <w:szCs w:val="22"/>
          <w:lang w:val="en-US" w:eastAsia="en-US" w:bidi="ar-SA"/>
        </w:rPr>
        <w:t xml:space="preserve"> </w:t>
      </w:r>
      <w:r>
        <w:rPr>
          <w:rFonts w:ascii="MingLiU" w:hAnsi="Calibri"/>
          <w:color w:val="000000"/>
          <w:szCs w:val="22"/>
          <w:lang w:val="en-US" w:eastAsia="en-US" w:bidi="ar-SA"/>
        </w:rPr>
        <w:t>/13</w:t>
      </w:r>
    </w:p>
    <w:p>
      <w:pPr>
        <w:spacing w:line="258" w:lineRule="exact"/>
        <w:ind w:right="1276"/>
        <w:jc w:val="center"/>
        <w:rPr>
          <w:rFonts w:ascii="MingLiU" w:hAnsi="Calibri"/>
          <w:color w:val="000000"/>
          <w:sz w:val="20"/>
          <w:szCs w:val="22"/>
          <w:lang w:val="en-US" w:eastAsia="en-US" w:bidi="ar-SA"/>
        </w:rPr>
      </w:pPr>
      <w:r>
        <w:pict>
          <v:shape id="_x0000_s1063" o:spid="_x0000_s1063" o:spt="75" type="#_x0000_t75" style="position:absolute;left:0pt;margin-left:41.5pt;margin-top:53.85pt;height:3pt;width:512.25pt;mso-position-horizontal-relative:page;mso-position-vertical-relative:page;z-index:-251634688;mso-width-relative:page;mso-height-relative:page;" filled="f" o:preferrelative="t" stroked="f" coordsize="21600,21600">
            <v:path/>
            <v:fill on="f" focussize="0,0"/>
            <v:stroke on="f" joinstyle="miter"/>
            <v:imagedata r:id="rId4" o:title=""/>
            <o:lock v:ext="edit" aspectratio="t"/>
          </v:shape>
        </w:pict>
      </w:r>
      <w:r>
        <w:pict>
          <v:shape id="_x0000_s1064" o:spid="_x0000_s1064" o:spt="75" type="#_x0000_t75" style="position:absolute;left:0pt;margin-left:41.5pt;margin-top:811.65pt;height:3pt;width:512.25pt;mso-position-horizontal-relative:page;mso-position-vertical-relative:page;z-index:-251648000;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512" w:line="210" w:lineRule="exact"/>
        <w:rPr>
          <w:rFonts w:ascii="MingLiU" w:hAnsi="Calibri"/>
          <w:color w:val="000000"/>
          <w:sz w:val="20"/>
          <w:szCs w:val="22"/>
          <w:lang w:val="en-US" w:eastAsia="en-US" w:bidi="ar-SA"/>
        </w:rPr>
      </w:pPr>
      <w:r>
        <w:rPr>
          <w:rFonts w:ascii="MingLiU" w:hAnsi="MingLiU" w:cs="MingLiU"/>
          <w:color w:val="000000"/>
          <w:spacing w:val="-1"/>
          <w:sz w:val="20"/>
          <w:szCs w:val="22"/>
          <w:lang w:val="en-US" w:eastAsia="en-US" w:bidi="ar-SA"/>
        </w:rPr>
        <w:t>8电气节能设计</w:t>
      </w:r>
    </w:p>
    <w:p>
      <w:pPr>
        <w:spacing w:before="290" w:line="210" w:lineRule="exact"/>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1电气照明</w:t>
      </w:r>
    </w:p>
    <w:p>
      <w:pPr>
        <w:spacing w:before="290" w:line="210" w:lineRule="exact"/>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1电气照明设计除应符合本标准外，尚应符合国家现行标准《建筑照明设计标准》GB50034的有关规定。</w:t>
      </w:r>
    </w:p>
    <w:p>
      <w:pPr>
        <w:spacing w:before="290" w:line="210" w:lineRule="exact"/>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2公共场所照明标准值应符合表8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pacing w:val="-3"/>
          <w:sz w:val="20"/>
          <w:szCs w:val="22"/>
          <w:lang w:val="en-US" w:eastAsia="en-US" w:bidi="ar-SA"/>
        </w:rPr>
        <w:t>2规定。</w:t>
      </w:r>
    </w:p>
    <w:p>
      <w:pPr>
        <w:spacing w:before="13037" w:line="250" w:lineRule="exact"/>
        <w:ind w:left="8683"/>
        <w:rPr>
          <w:rFonts w:ascii="MingLiU" w:hAnsi="Calibri"/>
          <w:color w:val="000000"/>
          <w:szCs w:val="22"/>
          <w:lang w:val="en-US" w:eastAsia="en-US" w:bidi="ar-SA"/>
        </w:rPr>
        <w:sectPr>
          <w:pgSz w:w="11900" w:h="16820"/>
          <w:pgMar w:top="280" w:right="100" w:bottom="0" w:left="892"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5"/>
          <w:szCs w:val="22"/>
          <w:lang w:val="en-US" w:eastAsia="en-US" w:bidi="ar-SA"/>
        </w:rPr>
        <w:t>11</w:t>
      </w:r>
      <w:r>
        <w:rPr>
          <w:rFonts w:ascii="MingLiU" w:hAnsi="Calibri"/>
          <w:color w:val="000000"/>
          <w:spacing w:val="-79"/>
          <w:szCs w:val="22"/>
          <w:lang w:val="en-US" w:eastAsia="en-US" w:bidi="ar-SA"/>
        </w:rPr>
        <w:t xml:space="preserve"> </w:t>
      </w:r>
      <w:r>
        <w:rPr>
          <w:rFonts w:ascii="MingLiU" w:hAnsi="Calibri"/>
          <w:color w:val="000000"/>
          <w:szCs w:val="22"/>
          <w:lang w:val="en-US" w:eastAsia="en-US" w:bidi="ar-SA"/>
        </w:rPr>
        <w:t>/13</w:t>
      </w:r>
    </w:p>
    <w:p>
      <w:pPr>
        <w:spacing w:line="258" w:lineRule="exact"/>
        <w:ind w:right="1276"/>
        <w:rPr>
          <w:rFonts w:ascii="MingLiU" w:hAnsi="Calibri"/>
          <w:color w:val="000000"/>
          <w:sz w:val="20"/>
          <w:szCs w:val="22"/>
          <w:lang w:val="en-US" w:eastAsia="en-US" w:bidi="ar-SA"/>
        </w:rPr>
      </w:pPr>
      <w:r>
        <w:pict>
          <v:shape id="_x0000_s1066" o:spid="_x0000_s1066" o:spt="75" type="#_x0000_t75" style="position:absolute;left:0pt;margin-left:41.5pt;margin-top:53.85pt;height:3pt;width:512.25pt;mso-position-horizontal-relative:page;mso-position-vertical-relative:page;z-index:-251620352;mso-width-relative:page;mso-height-relative:page;" filled="f" o:preferrelative="t" stroked="f" coordsize="21600,21600">
            <v:path/>
            <v:fill on="f" focussize="0,0"/>
            <v:stroke on="f" joinstyle="miter"/>
            <v:imagedata r:id="rId18" o:title=""/>
            <o:lock v:ext="edit" aspectratio="t"/>
          </v:shape>
        </w:pict>
      </w:r>
      <w:r>
        <w:pict>
          <v:shape id="_x0000_s1067" o:spid="_x0000_s1067" o:spt="75" type="#_x0000_t75" style="position:absolute;left:0pt;margin-left:41.5pt;margin-top:74.65pt;height:696.5pt;width:354.55pt;mso-position-horizontal-relative:page;mso-position-vertical-relative:page;z-index:-251633664;mso-width-relative:page;mso-height-relative:page;" filled="f" o:preferrelative="t" stroked="f" coordsize="21600,21600">
            <v:path/>
            <v:fill on="f" focussize="0,0"/>
            <v:stroke on="f" joinstyle="miter"/>
            <v:imagedata r:id="rId19" o:title=""/>
            <o:lock v:ext="edit" aspectratio="t"/>
          </v:shape>
        </w:pict>
      </w:r>
      <w:r>
        <w:pict>
          <v:shape id="_x0000_s1068" o:spid="_x0000_s1068" o:spt="75" type="#_x0000_t75" style="position:absolute;left:0pt;margin-left:41.5pt;margin-top:811.65pt;height:3pt;width:512.25pt;mso-position-horizontal-relative:page;mso-position-vertical-relative:page;z-index:-251646976;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15259" w:line="250" w:lineRule="exact"/>
        <w:ind w:left="5607"/>
        <w:rPr>
          <w:rFonts w:ascii="MingLiU" w:hAnsi="Calibri"/>
          <w:color w:val="000000"/>
          <w:szCs w:val="22"/>
          <w:lang w:val="en-US" w:eastAsia="en-US" w:bidi="ar-SA"/>
        </w:rPr>
        <w:sectPr>
          <w:pgSz w:w="11900" w:h="16820"/>
          <w:pgMar w:top="280" w:right="100" w:bottom="0" w:left="3969" w:header="720" w:footer="720" w:gutter="0"/>
          <w:pgNumType w:start="1"/>
          <w:cols w:space="720" w:num="1"/>
          <w:docGrid w:linePitch="1" w:charSpace="0"/>
        </w:sectPr>
      </w:pPr>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5"/>
          <w:szCs w:val="22"/>
          <w:lang w:val="en-US" w:eastAsia="en-US" w:bidi="ar-SA"/>
        </w:rPr>
        <w:t>12</w:t>
      </w:r>
      <w:r>
        <w:rPr>
          <w:rFonts w:ascii="MingLiU" w:hAnsi="Calibri"/>
          <w:color w:val="000000"/>
          <w:spacing w:val="-79"/>
          <w:szCs w:val="22"/>
          <w:lang w:val="en-US" w:eastAsia="en-US" w:bidi="ar-SA"/>
        </w:rPr>
        <w:t xml:space="preserve"> </w:t>
      </w:r>
      <w:r>
        <w:rPr>
          <w:rFonts w:ascii="MingLiU" w:hAnsi="Calibri"/>
          <w:color w:val="000000"/>
          <w:szCs w:val="22"/>
          <w:lang w:val="en-US" w:eastAsia="en-US" w:bidi="ar-SA"/>
        </w:rPr>
        <w:t>/13</w:t>
      </w:r>
    </w:p>
    <w:p>
      <w:pPr>
        <w:spacing w:line="258" w:lineRule="exact"/>
        <w:ind w:right="1276"/>
        <w:jc w:val="center"/>
        <w:rPr>
          <w:rFonts w:ascii="MingLiU" w:hAnsi="Calibri"/>
          <w:color w:val="000000"/>
          <w:sz w:val="20"/>
          <w:szCs w:val="22"/>
          <w:lang w:val="en-US" w:eastAsia="en-US" w:bidi="ar-SA"/>
        </w:rPr>
      </w:pPr>
      <w:r>
        <w:pict>
          <v:shape id="_x0000_s1070" o:spid="_x0000_s1070" o:spt="75" type="#_x0000_t75" style="position:absolute;left:0pt;margin-left:41.5pt;margin-top:53.85pt;height:3pt;width:512.25pt;mso-position-horizontal-relative:page;mso-position-vertical-relative:page;z-index:-251619328;mso-width-relative:page;mso-height-relative:page;" filled="f" o:preferrelative="t" stroked="f" coordsize="21600,21600">
            <v:path/>
            <v:fill on="f" focussize="0,0"/>
            <v:stroke on="f" joinstyle="miter"/>
            <v:imagedata r:id="rId20" o:title=""/>
            <o:lock v:ext="edit" aspectratio="t"/>
          </v:shape>
        </w:pict>
      </w:r>
      <w:r>
        <w:pict>
          <v:shape id="_x0000_s1071" o:spid="_x0000_s1071" o:spt="75" type="#_x0000_t75" style="position:absolute;left:0pt;margin-left:-1pt;margin-top:-1pt;height:3pt;width:3pt;mso-position-horizontal-relative:page;mso-position-vertical-relative:page;z-index:-251632640;mso-width-relative:page;mso-height-relative:page;" filled="f" o:preferrelative="t" stroked="f" coordsize="21600,21600">
            <v:path/>
            <v:fill on="f" focussize="0,0"/>
            <v:stroke on="f" joinstyle="miter"/>
            <v:imagedata r:id="rId21" o:title=""/>
            <o:lock v:ext="edit" aspectratio="t"/>
          </v:shape>
        </w:pict>
      </w:r>
      <w:r>
        <w:pict>
          <v:shape id="_x0000_s1072" o:spid="_x0000_s1072" o:spt="75" type="#_x0000_t75" style="position:absolute;left:0pt;margin-left:41.5pt;margin-top:811.65pt;height:3pt;width:512.25pt;mso-position-horizontal-relative:page;mso-position-vertical-relative:page;z-index:-251645952;mso-width-relative:page;mso-height-relative:page;" filled="f" o:preferrelative="t" stroked="f" coordsize="21600,21600">
            <v:path/>
            <v:fill on="f" focussize="0,0"/>
            <v:stroke on="f" joinstyle="miter"/>
            <v:imagedata r:id="rId5" o:title=""/>
            <o:lock v:ext="edit" aspectratio="t"/>
          </v:shape>
        </w:pict>
      </w:r>
      <w:r>
        <w:rPr>
          <w:rFonts w:ascii="MingLiU" w:hAnsi="MingLiU" w:cs="MingLiU"/>
          <w:color w:val="000000"/>
          <w:sz w:val="22"/>
          <w:szCs w:val="22"/>
          <w:lang w:val="en-US" w:eastAsia="en-US" w:bidi="ar-SA"/>
        </w:rPr>
        <w:t>低能耗居住建筑节能设计标准</w:t>
      </w:r>
      <w:r>
        <w:rPr>
          <w:rFonts w:ascii="MingLiU" w:hAnsi="Calibri"/>
          <w:color w:val="000000"/>
          <w:spacing w:val="-64"/>
          <w:sz w:val="22"/>
          <w:szCs w:val="22"/>
          <w:lang w:val="en-US" w:eastAsia="en-US" w:bidi="ar-SA"/>
        </w:rPr>
        <w:t xml:space="preserve"> </w:t>
      </w:r>
      <w:r>
        <w:rPr>
          <w:rFonts w:ascii="MingLiU" w:hAnsi="MingLiU" w:cs="MingLiU"/>
          <w:color w:val="000000"/>
          <w:sz w:val="22"/>
          <w:szCs w:val="22"/>
          <w:lang w:val="en-US" w:eastAsia="en-US" w:bidi="ar-SA"/>
        </w:rPr>
        <w:t>湖北省地方标准（D</w:t>
      </w:r>
      <w:r>
        <w:rPr>
          <w:rFonts w:ascii="MingLiU" w:hAnsi="Calibri"/>
          <w:color w:val="000000"/>
          <w:spacing w:val="-57"/>
          <w:sz w:val="22"/>
          <w:szCs w:val="22"/>
          <w:lang w:val="en-US" w:eastAsia="en-US" w:bidi="ar-SA"/>
        </w:rPr>
        <w:t xml:space="preserve"> </w:t>
      </w:r>
      <w:r>
        <w:rPr>
          <w:rFonts w:ascii="MingLiU" w:hAnsi="Calibri"/>
          <w:color w:val="000000"/>
          <w:spacing w:val="-8"/>
          <w:sz w:val="22"/>
          <w:szCs w:val="22"/>
          <w:lang w:val="en-US" w:eastAsia="en-US" w:bidi="ar-SA"/>
        </w:rPr>
        <w:t>B42/T</w:t>
      </w:r>
      <w:r>
        <w:rPr>
          <w:rFonts w:ascii="MingLiU" w:hAnsi="Calibri"/>
          <w:color w:val="000000"/>
          <w:spacing w:val="-86"/>
          <w:sz w:val="22"/>
          <w:szCs w:val="22"/>
          <w:lang w:val="en-US" w:eastAsia="en-US" w:bidi="ar-SA"/>
        </w:rPr>
        <w:t xml:space="preserve"> </w:t>
      </w:r>
      <w:r>
        <w:rPr>
          <w:rFonts w:ascii="MingLiU" w:hAnsi="MingLiU" w:cs="MingLiU"/>
          <w:color w:val="000000"/>
          <w:spacing w:val="-7"/>
          <w:sz w:val="22"/>
          <w:szCs w:val="22"/>
          <w:lang w:val="en-US" w:eastAsia="en-US" w:bidi="ar-SA"/>
        </w:rPr>
        <w:t>559—2013）</w:t>
      </w:r>
      <w:r>
        <w:rPr>
          <w:rFonts w:ascii="MingLiU" w:hAnsi="MingLiU" w:cs="MingLiU"/>
          <w:color w:val="000000"/>
          <w:spacing w:val="-7"/>
          <w:sz w:val="22"/>
          <w:szCs w:val="22"/>
          <w:lang w:val="en-US" w:eastAsia="en-US" w:bidi="ar-SA"/>
        </w:rPr>
        <w:cr/>
      </w:r>
    </w:p>
    <w:p>
      <w:pPr>
        <w:spacing w:before="512"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8有条件时，宜采用各种导光或反光装置将天然光引入室内进行照明。</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1</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9公共场所的照明，应采用延时自动熄灭或自动降低照度等节能措施。当应急疏散照明采用节能自熄开关时，必</w:t>
      </w:r>
      <w:r>
        <w:rPr>
          <w:rFonts w:ascii="MingLiU" w:hAnsi="MingLiU" w:cs="MingLiU"/>
          <w:color w:val="000000"/>
          <w:sz w:val="20"/>
          <w:szCs w:val="22"/>
          <w:lang w:val="en-US" w:eastAsia="en-US" w:bidi="ar-SA"/>
        </w:rPr>
        <w:cr/>
      </w:r>
      <w:r>
        <w:rPr>
          <w:rFonts w:ascii="MingLiU" w:hAnsi="MingLiU" w:cs="MingLiU"/>
          <w:color w:val="000000"/>
          <w:sz w:val="20"/>
          <w:szCs w:val="22"/>
          <w:lang w:val="en-US" w:eastAsia="en-US" w:bidi="ar-SA"/>
        </w:rPr>
        <w:t>须采取消防时强制点亮的措施。</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MingLiU" w:cs="MingLiU"/>
          <w:color w:val="000000"/>
          <w:spacing w:val="-2"/>
          <w:sz w:val="20"/>
          <w:szCs w:val="22"/>
          <w:lang w:val="en-US" w:eastAsia="en-US" w:bidi="ar-SA"/>
        </w:rPr>
        <w:t>2供配电系统</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1变配电所或配电室应深入或接近负荷中心。</w:t>
      </w:r>
    </w:p>
    <w:p>
      <w:pPr>
        <w:spacing w:before="25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2三相配电干线的各相负荷宜分配平衡，最大相负荷不宜超过三相负荷平均值的115%，最小相负荷不宜小于三</w:t>
      </w:r>
      <w:r>
        <w:rPr>
          <w:rFonts w:ascii="MingLiU" w:hAnsi="MingLiU" w:cs="MingLiU"/>
          <w:color w:val="000000"/>
          <w:spacing w:val="1"/>
          <w:sz w:val="20"/>
          <w:szCs w:val="22"/>
          <w:lang w:val="en-US" w:eastAsia="en-US" w:bidi="ar-SA"/>
        </w:rPr>
        <w:cr/>
      </w:r>
      <w:r>
        <w:rPr>
          <w:rFonts w:ascii="MingLiU" w:hAnsi="MingLiU" w:cs="MingLiU"/>
          <w:color w:val="000000"/>
          <w:spacing w:val="-2"/>
          <w:sz w:val="20"/>
          <w:szCs w:val="22"/>
          <w:lang w:val="en-US" w:eastAsia="en-US" w:bidi="ar-SA"/>
        </w:rPr>
        <w:t>相负荷平均值的85%</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3应选用节能型变压器、节能型电气设备和元器件，建筑内的机电设备的配电系统，应采取节电措施。</w:t>
      </w:r>
    </w:p>
    <w:p>
      <w:pPr>
        <w:spacing w:before="250" w:after="220" w:line="250" w:lineRule="exact"/>
        <w:rPr>
          <w:rFonts w:ascii="MingLiU" w:hAnsi="Calibri"/>
          <w:color w:val="000000"/>
          <w:sz w:val="20"/>
          <w:szCs w:val="22"/>
          <w:lang w:val="en-US" w:eastAsia="en-US" w:bidi="ar-SA"/>
        </w:rPr>
      </w:pPr>
      <w:r>
        <w:rPr>
          <w:rFonts w:ascii="MingLiU" w:hAnsi="Calibri"/>
          <w:color w:val="000000"/>
          <w:spacing w:val="-59"/>
          <w:sz w:val="20"/>
          <w:szCs w:val="22"/>
          <w:lang w:val="en-US" w:eastAsia="en-US" w:bidi="ar-SA"/>
        </w:rPr>
        <w:t xml:space="preserve"> </w:t>
      </w: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4合理采取无功补偿和抑制谐波的措施，无功补偿宜在变压器低压侧集中补偿。低压供电时，功率因数不宜低于</w:t>
      </w:r>
      <w:r>
        <w:rPr>
          <w:rFonts w:ascii="MingLiU" w:hAnsi="MingLiU" w:cs="MingLiU"/>
          <w:color w:val="000000"/>
          <w:sz w:val="20"/>
          <w:szCs w:val="22"/>
          <w:lang w:val="en-US" w:eastAsia="en-US" w:bidi="ar-SA"/>
        </w:rPr>
        <w:cr/>
      </w:r>
      <w:r>
        <w:rPr>
          <w:rFonts w:ascii="MingLiU" w:hAnsi="Calibri"/>
          <w:color w:val="000000"/>
          <w:sz w:val="20"/>
          <w:szCs w:val="22"/>
          <w:lang w:val="en-US" w:eastAsia="en-US" w:bidi="ar-SA"/>
        </w:rPr>
        <w:t>0</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9；高压供电时，高压侧的功率因数应符合当地供电部门的要求。</w:t>
      </w:r>
    </w:p>
    <w:tbl>
      <w:tblPr>
        <w:tblStyle w:val="3"/>
        <w:tblW w:w="9058" w:type="dxa"/>
        <w:tblInd w:w="0" w:type="dxa"/>
        <w:tblLayout w:type="fixed"/>
        <w:tblCellMar>
          <w:top w:w="0" w:type="dxa"/>
          <w:left w:w="0" w:type="dxa"/>
          <w:bottom w:w="0" w:type="dxa"/>
          <w:right w:w="0" w:type="dxa"/>
        </w:tblCellMar>
      </w:tblPr>
      <w:tblGrid>
        <w:gridCol w:w="41"/>
        <w:gridCol w:w="8655"/>
        <w:gridCol w:w="20"/>
        <w:gridCol w:w="342"/>
      </w:tblGrid>
      <w:tr>
        <w:tblPrEx>
          <w:tblLayout w:type="fixed"/>
          <w:tblCellMar>
            <w:top w:w="0" w:type="dxa"/>
            <w:left w:w="0" w:type="dxa"/>
            <w:bottom w:w="0" w:type="dxa"/>
            <w:right w:w="0" w:type="dxa"/>
          </w:tblCellMar>
        </w:tblPrEx>
        <w:trPr>
          <w:trHeight w:val="240" w:hRule="atLeast"/>
        </w:trPr>
        <w:tc>
          <w:tcPr>
            <w:tcW w:w="41" w:type="dxa"/>
            <w:vAlign w:val="top"/>
          </w:tcPr>
          <w:p>
            <w:pPr>
              <w:spacing w:line="0" w:lineRule="atLeast"/>
              <w:rPr>
                <w:rFonts w:ascii="MingLiU" w:hAnsi="Calibri"/>
                <w:color w:val="000000"/>
                <w:sz w:val="20"/>
                <w:szCs w:val="22"/>
                <w:lang w:val="en-US" w:eastAsia="en-US" w:bidi="ar-SA"/>
              </w:rPr>
            </w:pPr>
          </w:p>
        </w:tc>
        <w:tc>
          <w:tcPr>
            <w:tcW w:w="8655" w:type="dxa"/>
            <w:vAlign w:val="top"/>
          </w:tcPr>
          <w:p>
            <w:pPr>
              <w:spacing w:before="40" w:line="200" w:lineRule="exact"/>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pacing w:val="-1"/>
                <w:sz w:val="20"/>
                <w:szCs w:val="22"/>
                <w:lang w:val="en-US" w:eastAsia="en-US" w:bidi="ar-SA"/>
              </w:rPr>
              <w:t>5套内的电源线应选用铜质导体，进户线不应小于10m</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m</w:t>
            </w:r>
            <w:r>
              <w:rPr>
                <w:rFonts w:ascii="MingLiU" w:hAnsi="Calibri"/>
                <w:color w:val="000000"/>
                <w:spacing w:val="-41"/>
                <w:sz w:val="20"/>
                <w:szCs w:val="22"/>
                <w:lang w:val="en-US" w:eastAsia="en-US" w:bidi="ar-SA"/>
              </w:rPr>
              <w:t xml:space="preserve"> </w:t>
            </w:r>
            <w:r>
              <w:rPr>
                <w:rFonts w:ascii="MingLiU" w:hAnsi="MingLiU" w:cs="MingLiU"/>
                <w:color w:val="000000"/>
                <w:sz w:val="20"/>
                <w:szCs w:val="22"/>
                <w:lang w:val="en-US" w:eastAsia="en-US" w:bidi="ar-SA"/>
              </w:rPr>
              <w:t>2，照明和插座回路支线不应小于2</w:t>
            </w:r>
            <w:r>
              <w:rPr>
                <w:rFonts w:ascii="MingLiU" w:hAnsi="Calibri"/>
                <w:color w:val="000000"/>
                <w:spacing w:val="-52"/>
                <w:sz w:val="20"/>
                <w:szCs w:val="22"/>
                <w:lang w:val="en-US" w:eastAsia="en-US" w:bidi="ar-SA"/>
              </w:rPr>
              <w:t>.</w:t>
            </w:r>
            <w:r>
              <w:rPr>
                <w:rFonts w:ascii="MingLiU" w:hAnsi="Calibri"/>
                <w:color w:val="000000"/>
                <w:spacing w:val="-4"/>
                <w:sz w:val="20"/>
                <w:szCs w:val="22"/>
                <w:lang w:val="en-US" w:eastAsia="en-US" w:bidi="ar-SA"/>
              </w:rPr>
              <w:t>5m</w:t>
            </w:r>
            <w:r>
              <w:rPr>
                <w:rFonts w:ascii="MingLiU" w:hAnsi="Calibri"/>
                <w:color w:val="000000"/>
                <w:spacing w:val="-41"/>
                <w:sz w:val="20"/>
                <w:szCs w:val="22"/>
                <w:lang w:val="en-US" w:eastAsia="en-US" w:bidi="ar-SA"/>
              </w:rPr>
              <w:t xml:space="preserve"> </w:t>
            </w:r>
            <w:r>
              <w:rPr>
                <w:rFonts w:ascii="MingLiU" w:hAnsi="Calibri"/>
                <w:color w:val="000000"/>
                <w:sz w:val="20"/>
                <w:szCs w:val="22"/>
                <w:lang w:val="en-US" w:eastAsia="en-US" w:bidi="ar-SA"/>
              </w:rPr>
              <w:t>m</w:t>
            </w:r>
          </w:p>
        </w:tc>
        <w:tc>
          <w:tcPr>
            <w:tcW w:w="20" w:type="dxa"/>
            <w:vAlign w:val="top"/>
          </w:tcPr>
          <w:p>
            <w:pPr>
              <w:spacing w:line="0" w:lineRule="atLeast"/>
              <w:rPr>
                <w:rFonts w:ascii="MingLiU" w:hAnsi="Calibri"/>
                <w:color w:val="000000"/>
                <w:sz w:val="20"/>
                <w:szCs w:val="22"/>
                <w:lang w:val="en-US" w:eastAsia="en-US" w:bidi="ar-SA"/>
              </w:rPr>
            </w:pPr>
          </w:p>
        </w:tc>
        <w:tc>
          <w:tcPr>
            <w:tcW w:w="342" w:type="dxa"/>
            <w:vAlign w:val="top"/>
          </w:tcPr>
          <w:p>
            <w:pPr>
              <w:spacing w:line="200" w:lineRule="exact"/>
              <w:rPr>
                <w:rFonts w:ascii="MingLiU" w:hAnsi="Calibri"/>
                <w:color w:val="000000"/>
                <w:sz w:val="20"/>
                <w:szCs w:val="22"/>
                <w:lang w:val="en-US" w:eastAsia="en-US" w:bidi="ar-SA"/>
              </w:rPr>
            </w:pPr>
            <w:r>
              <w:rPr>
                <w:rFonts w:ascii="MingLiU" w:hAnsi="Calibri"/>
                <w:color w:val="000000"/>
                <w:spacing w:val="-3"/>
                <w:sz w:val="20"/>
                <w:szCs w:val="22"/>
                <w:vertAlign w:val="superscript"/>
                <w:lang w:val="en-US" w:eastAsia="en-US" w:bidi="ar-SA"/>
              </w:rPr>
              <w:t>2</w:t>
            </w:r>
            <w:r>
              <w:rPr>
                <w:rFonts w:ascii="MingLiU" w:hAnsi="MingLiU" w:cs="MingLiU"/>
                <w:color w:val="000000"/>
                <w:sz w:val="20"/>
                <w:szCs w:val="22"/>
                <w:lang w:val="en-US" w:eastAsia="en-US" w:bidi="ar-SA"/>
              </w:rPr>
              <w:t>。</w:t>
            </w:r>
          </w:p>
        </w:tc>
      </w:tr>
    </w:tbl>
    <w:p>
      <w:pPr>
        <w:spacing w:before="30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6应合理设置电能及其它能耗的计量装置。</w:t>
      </w:r>
    </w:p>
    <w:p>
      <w:pPr>
        <w:spacing w:before="290" w:line="210" w:lineRule="exact"/>
        <w:ind w:left="41"/>
        <w:rPr>
          <w:rFonts w:ascii="MingLiU" w:hAnsi="Calibri"/>
          <w:color w:val="000000"/>
          <w:sz w:val="20"/>
          <w:szCs w:val="22"/>
          <w:lang w:val="en-US" w:eastAsia="en-US" w:bidi="ar-SA"/>
        </w:rPr>
      </w:pPr>
      <w:r>
        <w:rPr>
          <w:rFonts w:ascii="MingLiU" w:hAnsi="Calibri"/>
          <w:color w:val="000000"/>
          <w:sz w:val="20"/>
          <w:szCs w:val="22"/>
          <w:lang w:val="en-US" w:eastAsia="en-US" w:bidi="ar-SA"/>
        </w:rPr>
        <w:t>8</w:t>
      </w:r>
      <w:r>
        <w:rPr>
          <w:rFonts w:ascii="MingLiU" w:hAnsi="Calibri"/>
          <w:color w:val="000000"/>
          <w:spacing w:val="-52"/>
          <w:sz w:val="20"/>
          <w:szCs w:val="22"/>
          <w:lang w:val="en-US" w:eastAsia="en-US" w:bidi="ar-SA"/>
        </w:rPr>
        <w:t>.</w:t>
      </w:r>
      <w:r>
        <w:rPr>
          <w:rFonts w:ascii="MingLiU" w:hAnsi="Calibri"/>
          <w:color w:val="000000"/>
          <w:sz w:val="20"/>
          <w:szCs w:val="22"/>
          <w:lang w:val="en-US" w:eastAsia="en-US" w:bidi="ar-SA"/>
        </w:rPr>
        <w:t>2</w:t>
      </w:r>
      <w:r>
        <w:rPr>
          <w:rFonts w:ascii="MingLiU" w:hAnsi="Calibri"/>
          <w:color w:val="000000"/>
          <w:spacing w:val="-52"/>
          <w:sz w:val="20"/>
          <w:szCs w:val="22"/>
          <w:lang w:val="en-US" w:eastAsia="en-US" w:bidi="ar-SA"/>
        </w:rPr>
        <w:t>.</w:t>
      </w:r>
      <w:r>
        <w:rPr>
          <w:rFonts w:ascii="MingLiU" w:hAnsi="MingLiU" w:cs="MingLiU"/>
          <w:color w:val="000000"/>
          <w:sz w:val="20"/>
          <w:szCs w:val="22"/>
          <w:lang w:val="en-US" w:eastAsia="en-US" w:bidi="ar-SA"/>
        </w:rPr>
        <w:t>7有条件时宜利用太阳能、风能等可再生能源。</w:t>
      </w:r>
    </w:p>
    <w:p>
      <w:pPr>
        <w:spacing w:before="8787" w:line="250" w:lineRule="exact"/>
        <w:ind w:left="8725"/>
        <w:rPr>
          <w:rFonts w:ascii="MingLiU" w:hAnsi="Calibri"/>
          <w:color w:val="000000"/>
          <w:szCs w:val="22"/>
          <w:lang w:val="en-US" w:eastAsia="en-US" w:bidi="ar-SA"/>
        </w:rPr>
      </w:pPr>
      <w:bookmarkStart w:id="0" w:name="_GoBack"/>
      <w:bookmarkEnd w:id="0"/>
      <w:r>
        <w:rPr>
          <w:rFonts w:ascii="MingLiU" w:hAnsi="MingLiU" w:cs="MingLiU"/>
          <w:color w:val="000000"/>
          <w:szCs w:val="22"/>
          <w:lang w:val="en-US" w:eastAsia="en-US" w:bidi="ar-SA"/>
        </w:rPr>
        <w:t>页面</w:t>
      </w:r>
      <w:r>
        <w:rPr>
          <w:rFonts w:ascii="MingLiU" w:hAnsi="Calibri"/>
          <w:color w:val="000000"/>
          <w:spacing w:val="-70"/>
          <w:szCs w:val="22"/>
          <w:lang w:val="en-US" w:eastAsia="en-US" w:bidi="ar-SA"/>
        </w:rPr>
        <w:t xml:space="preserve"> </w:t>
      </w:r>
      <w:r>
        <w:rPr>
          <w:rFonts w:ascii="MingLiU" w:hAnsi="Calibri"/>
          <w:color w:val="000000"/>
          <w:spacing w:val="-5"/>
          <w:szCs w:val="22"/>
          <w:lang w:val="en-US" w:eastAsia="en-US" w:bidi="ar-SA"/>
        </w:rPr>
        <w:t>13</w:t>
      </w:r>
      <w:r>
        <w:rPr>
          <w:rFonts w:ascii="MingLiU" w:hAnsi="Calibri"/>
          <w:color w:val="000000"/>
          <w:spacing w:val="-79"/>
          <w:szCs w:val="22"/>
          <w:lang w:val="en-US" w:eastAsia="en-US" w:bidi="ar-SA"/>
        </w:rPr>
        <w:t xml:space="preserve"> </w:t>
      </w:r>
      <w:r>
        <w:rPr>
          <w:rFonts w:ascii="MingLiU" w:hAnsi="Calibri"/>
          <w:color w:val="000000"/>
          <w:szCs w:val="22"/>
          <w:lang w:val="en-US" w:eastAsia="en-US" w:bidi="ar-SA"/>
        </w:rPr>
        <w:t>/13</w:t>
      </w:r>
    </w:p>
    <w:sectPr>
      <w:pgSz w:w="11900" w:h="16820"/>
      <w:pgMar w:top="280" w:right="100" w:bottom="0" w:left="850"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auto"/>
    <w:pitch w:val="default"/>
    <w:sig w:usb0="A00002FF" w:usb1="28CFFCFA" w:usb2="00000016" w:usb3="00000000" w:csb0="00100001" w:csb1="00000000"/>
  </w:font>
  <w:font w:name="Calibri">
    <w:panose1 w:val="020F0502020204030204"/>
    <w:charset w:val="CC"/>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noPunctuationKerning w:val="1"/>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A77B3E"/>
    <w:rsid w:val="00CA2A55"/>
    <w:rsid w:val="6D696B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9"/>
    <customShpInfo spid="_x0000_s1030"/>
    <customShpInfo spid="_x0000_s1032"/>
    <customShpInfo spid="_x0000_s1033"/>
    <customShpInfo spid="_x0000_s1034"/>
    <customShpInfo spid="_x0000_s1035"/>
    <customShpInfo spid="_x0000_s1037"/>
    <customShpInfo spid="_x0000_s1038"/>
    <customShpInfo spid="_x0000_s1040"/>
    <customShpInfo spid="_x0000_s1041"/>
    <customShpInfo spid="_x0000_s1042"/>
    <customShpInfo spid="_x0000_s1044"/>
    <customShpInfo spid="_x0000_s1045"/>
    <customShpInfo spid="_x0000_s1046"/>
    <customShpInfo spid="_x0000_s1047"/>
    <customShpInfo spid="_x0000_s1049"/>
    <customShpInfo spid="_x0000_s1050"/>
    <customShpInfo spid="_x0000_s1051"/>
    <customShpInfo spid="_x0000_s1053"/>
    <customShpInfo spid="_x0000_s1054"/>
    <customShpInfo spid="_x0000_s1056"/>
    <customShpInfo spid="_x0000_s1057"/>
    <customShpInfo spid="_x0000_s1058"/>
    <customShpInfo spid="_x0000_s1060"/>
    <customShpInfo spid="_x0000_s1061"/>
    <customShpInfo spid="_x0000_s1063"/>
    <customShpInfo spid="_x0000_s1064"/>
    <customShpInfo spid="_x0000_s1066"/>
    <customShpInfo spid="_x0000_s1067"/>
    <customShpInfo spid="_x0000_s1068"/>
    <customShpInfo spid="_x0000_s1070"/>
    <customShpInfo spid="_x0000_s1071"/>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0</Words>
  <Characters>0</Characters>
  <Lines>1</Lines>
  <Paragraphs>1</Paragraphs>
  <TotalTime>4</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2020-02-28T06:29:37Z</dcterms:created>
  <dc:creator>Administrator</dc:creator>
  <cp:lastModifiedBy>Administrator</cp:lastModifiedBy>
  <dcterms:modified xsi:type="dcterms:W3CDTF">2020-02-28T06:34:09Z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